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eastAsia="宋体" w:cs="宋体"/>
          <w:b/>
          <w:bCs/>
          <w:sz w:val="44"/>
          <w:szCs w:val="44"/>
        </w:rPr>
      </w:pPr>
      <w:bookmarkStart w:id="3" w:name="_GoBack"/>
      <w:bookmarkEnd w:id="3"/>
      <w:bookmarkStart w:id="0" w:name="OLE_LINK14"/>
      <w:bookmarkStart w:id="1" w:name="OLE_LINK15"/>
      <w:r>
        <w:rPr>
          <w:rFonts w:hint="eastAsia" w:ascii="宋体" w:hAnsi="宋体" w:eastAsia="宋体" w:cs="宋体"/>
          <w:b/>
          <w:bCs/>
          <w:sz w:val="44"/>
          <w:szCs w:val="44"/>
        </w:rPr>
        <w:t>《深圳市支持电化学储能产业加快发展的若干措施（征求意见稿）》</w:t>
      </w:r>
      <w:bookmarkEnd w:id="0"/>
      <w:bookmarkEnd w:id="1"/>
    </w:p>
    <w:p>
      <w:pPr>
        <w:adjustRightInd w:val="0"/>
        <w:snapToGrid w:val="0"/>
        <w:spacing w:line="560" w:lineRule="exact"/>
        <w:jc w:val="center"/>
        <w:rPr>
          <w:rFonts w:ascii="宋体" w:hAnsi="宋体" w:eastAsia="宋体" w:cs="宋体"/>
          <w:b/>
          <w:bCs/>
          <w:sz w:val="44"/>
          <w:szCs w:val="44"/>
        </w:rPr>
      </w:pPr>
      <w:r>
        <w:rPr>
          <w:rFonts w:hint="eastAsia" w:ascii="宋体" w:hAnsi="宋体" w:eastAsia="宋体" w:cs="宋体"/>
          <w:b/>
          <w:bCs/>
          <w:sz w:val="44"/>
          <w:szCs w:val="44"/>
        </w:rPr>
        <w:t>编制说明</w:t>
      </w:r>
    </w:p>
    <w:p>
      <w:pPr>
        <w:spacing w:line="360" w:lineRule="auto"/>
        <w:rPr>
          <w:sz w:val="24"/>
        </w:rPr>
      </w:pPr>
    </w:p>
    <w:p>
      <w:pPr>
        <w:pStyle w:val="12"/>
        <w:ind w:firstLine="640"/>
      </w:pPr>
      <w:r>
        <w:rPr>
          <w:rFonts w:hint="eastAsia"/>
        </w:rPr>
        <w:t>为抢抓全球电化学储能产业</w:t>
      </w:r>
      <w:r>
        <w:rPr>
          <w:rFonts w:hint="eastAsia"/>
          <w:lang w:eastAsia="zh-CN"/>
        </w:rPr>
        <w:t>发展</w:t>
      </w:r>
      <w:r>
        <w:rPr>
          <w:rFonts w:hint="eastAsia"/>
        </w:rPr>
        <w:t>机遇，打造世界一流全球储能产业中心，根据《深圳市人民政府关于发展壮大战略性新兴产业集群和培育发展未来产业的意见》《深圳市培育发展新能源产业集群行动计划（</w:t>
      </w:r>
      <w:r>
        <w:t>2022-2025年）》《深圳市促进绿色低碳产业高质量发展的若干措施》等文件精神，制定本措施</w:t>
      </w:r>
      <w:r>
        <w:rPr>
          <w:rFonts w:hint="eastAsia"/>
        </w:rPr>
        <w:t>（以下简称《若干措施》），具体说明如下：</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一、编制背景</w:t>
      </w:r>
    </w:p>
    <w:p>
      <w:pPr>
        <w:pStyle w:val="12"/>
        <w:ind w:firstLine="640"/>
      </w:pPr>
      <w:r>
        <w:rPr>
          <w:rFonts w:hint="eastAsia"/>
        </w:rPr>
        <w:t>2</w:t>
      </w:r>
      <w:r>
        <w:t>021</w:t>
      </w:r>
      <w:r>
        <w:rPr>
          <w:rFonts w:hint="eastAsia"/>
        </w:rPr>
        <w:t>年</w:t>
      </w:r>
      <w:r>
        <w:t>7</w:t>
      </w:r>
      <w:r>
        <w:rPr>
          <w:rFonts w:hint="eastAsia"/>
        </w:rPr>
        <w:t>月，国家发改委、国家能源局联合印发《国家发展改革委</w:t>
      </w:r>
      <w:r>
        <w:t xml:space="preserve"> 国家能源局关于加快推动新型储能发展的指导意见》（</w:t>
      </w:r>
      <w:r>
        <w:rPr>
          <w:rFonts w:hint="eastAsia"/>
        </w:rPr>
        <w:t>发改能源规〔</w:t>
      </w:r>
      <w:r>
        <w:t>2021〕1051号）</w:t>
      </w:r>
      <w:r>
        <w:rPr>
          <w:rFonts w:hint="eastAsia"/>
        </w:rPr>
        <w:t>，提出以政策环境为有力保障，以市场机制为根本依托，以技术革新为内生动力，加快构建多轮驱动良好局面，推动储能高质量发展。</w:t>
      </w:r>
    </w:p>
    <w:p>
      <w:pPr>
        <w:pStyle w:val="12"/>
        <w:ind w:firstLine="640"/>
      </w:pPr>
      <w:r>
        <w:rPr>
          <w:rFonts w:hint="eastAsia"/>
        </w:rPr>
        <w:t>2</w:t>
      </w:r>
      <w:r>
        <w:t>022</w:t>
      </w:r>
      <w:r>
        <w:rPr>
          <w:rFonts w:hint="eastAsia"/>
        </w:rPr>
        <w:t>年1月，国家发改委、国家能源局发布《“十四五”新型储能发展实施方案》（发改能源〔</w:t>
      </w:r>
      <w:r>
        <w:t>2022〕209号</w:t>
      </w:r>
      <w:r>
        <w:rPr>
          <w:rFonts w:hint="eastAsia"/>
        </w:rPr>
        <w:t>）重点加大关键技术装备研发力度、积极试点示范、加快规模化发展、完善体制机制、做好政策保障，推进国际合作等方面推动新型储能规模化、产业化、市场化发展。</w:t>
      </w:r>
    </w:p>
    <w:p>
      <w:pPr>
        <w:pStyle w:val="12"/>
        <w:ind w:firstLine="640"/>
      </w:pPr>
      <w:r>
        <w:t xml:space="preserve"> </w:t>
      </w:r>
      <w:r>
        <w:rPr>
          <w:rFonts w:hint="eastAsia"/>
        </w:rPr>
        <w:t>2</w:t>
      </w:r>
      <w:r>
        <w:t>022年6</w:t>
      </w:r>
      <w:r>
        <w:rPr>
          <w:rFonts w:hint="eastAsia"/>
        </w:rPr>
        <w:t>月，深圳市人民政府印发《深圳市人民政府关于发展壮大战略性新兴产业集群和培育发展未来产业的意见》，明确提出重点发展新能源产业集群等战略性新兴产业，加强高效燃气轮机、高能量密度储能、燃料电池等关键核心技术攻关。</w:t>
      </w:r>
    </w:p>
    <w:p>
      <w:pPr>
        <w:pStyle w:val="12"/>
        <w:ind w:firstLine="640"/>
      </w:pPr>
      <w:r>
        <w:t>2022年6月，</w:t>
      </w:r>
      <w:r>
        <w:rPr>
          <w:rFonts w:hint="eastAsia"/>
        </w:rPr>
        <w:t>深圳市发展和改革委员会、深圳市科技创新委员会、深圳市工业和信息化局、深圳市规划和自然资源局印发《深圳市培育发展新能源产业集群行动计划（</w:t>
      </w:r>
      <w:r>
        <w:t>2022-2025年）》</w:t>
      </w:r>
      <w:r>
        <w:rPr>
          <w:rFonts w:hint="eastAsia"/>
        </w:rPr>
        <w:t>，明确提出加快培育发展以智能电网、太阳能、储能等在内的新能源产业集群。</w:t>
      </w:r>
    </w:p>
    <w:p>
      <w:pPr>
        <w:pStyle w:val="12"/>
        <w:ind w:firstLine="640"/>
      </w:pPr>
      <w:r>
        <w:t>2022年12月，深圳市人民政府印发《深圳市关于促进绿色低碳高质量发展的若干措施》，明确推动新型储能快速发展。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二、编制过程</w:t>
      </w:r>
    </w:p>
    <w:p>
      <w:pPr>
        <w:spacing w:line="560" w:lineRule="exact"/>
        <w:ind w:firstLine="640" w:firstLineChars="200"/>
        <w:rPr>
          <w:rFonts w:ascii="仿宋_GB2312" w:hAnsi="仿宋_GB2312" w:eastAsia="仿宋_GB2312" w:cs="Times New Roman"/>
          <w:sz w:val="32"/>
          <w:szCs w:val="20"/>
        </w:rPr>
      </w:pPr>
      <w:r>
        <w:rPr>
          <w:rFonts w:hint="eastAsia" w:ascii="仿宋_GB2312" w:hAnsi="仿宋_GB2312" w:eastAsia="仿宋_GB2312" w:cs="Times New Roman"/>
          <w:sz w:val="32"/>
          <w:szCs w:val="20"/>
        </w:rPr>
        <w:t>2</w:t>
      </w:r>
      <w:r>
        <w:rPr>
          <w:rFonts w:ascii="仿宋_GB2312" w:hAnsi="仿宋_GB2312" w:eastAsia="仿宋_GB2312" w:cs="Times New Roman"/>
          <w:sz w:val="32"/>
          <w:szCs w:val="20"/>
        </w:rPr>
        <w:t>022</w:t>
      </w:r>
      <w:r>
        <w:rPr>
          <w:rFonts w:hint="eastAsia" w:ascii="仿宋_GB2312" w:hAnsi="仿宋_GB2312" w:eastAsia="仿宋_GB2312" w:cs="Times New Roman"/>
          <w:sz w:val="32"/>
          <w:szCs w:val="20"/>
        </w:rPr>
        <w:t>年</w:t>
      </w:r>
      <w:r>
        <w:rPr>
          <w:rFonts w:ascii="仿宋_GB2312" w:hAnsi="仿宋_GB2312" w:eastAsia="仿宋_GB2312" w:cs="Times New Roman"/>
          <w:sz w:val="32"/>
          <w:szCs w:val="20"/>
        </w:rPr>
        <w:t>12</w:t>
      </w:r>
      <w:r>
        <w:rPr>
          <w:rFonts w:hint="eastAsia" w:ascii="仿宋_GB2312" w:hAnsi="仿宋_GB2312" w:eastAsia="仿宋_GB2312" w:cs="Times New Roman"/>
          <w:sz w:val="32"/>
          <w:szCs w:val="20"/>
        </w:rPr>
        <w:t>月，我委迅速成立《若干措施》编制小组，重点对我市电化学储能产业发展现状和需求进行细致摸底和认真评估，相继开展了政策梳理、资料学习、企业座谈和部门研讨等工作。</w:t>
      </w:r>
    </w:p>
    <w:p>
      <w:pPr>
        <w:spacing w:line="560" w:lineRule="exact"/>
        <w:ind w:firstLine="643" w:firstLineChars="200"/>
        <w:rPr>
          <w:rFonts w:ascii="仿宋_GB2312" w:hAnsi="仿宋_GB2312" w:eastAsia="仿宋_GB2312" w:cs="Times New Roman"/>
          <w:sz w:val="32"/>
          <w:szCs w:val="20"/>
        </w:rPr>
      </w:pPr>
      <w:r>
        <w:rPr>
          <w:rFonts w:hint="eastAsia" w:ascii="楷体_GB2312" w:hAnsi="楷体_GB2312" w:eastAsia="楷体_GB2312" w:cs="Times New Roman"/>
          <w:b/>
          <w:sz w:val="32"/>
          <w:szCs w:val="32"/>
        </w:rPr>
        <w:t>（一）全面开展资料分析。</w:t>
      </w:r>
      <w:r>
        <w:rPr>
          <w:rFonts w:hint="eastAsia" w:ascii="仿宋_GB2312" w:hAnsi="仿宋_GB2312" w:eastAsia="仿宋_GB2312" w:cs="Times New Roman"/>
          <w:sz w:val="32"/>
          <w:szCs w:val="20"/>
        </w:rPr>
        <w:t>全面搜集国家、广东省发展政策文件，对我市政策制定提供参考和借鉴。梳理我市电化学储能产业的整体规模、龙头企业、创新载体等基础，结合全球产业发展形势提出我市电化学储能产业的发展思路和《若干措施》重点支持方向。</w:t>
      </w:r>
    </w:p>
    <w:p>
      <w:pPr>
        <w:pStyle w:val="9"/>
        <w:spacing w:line="560" w:lineRule="exact"/>
        <w:ind w:firstLine="643"/>
        <w:rPr>
          <w:rFonts w:ascii="仿宋_GB2312" w:hAnsi="仿宋_GB2312" w:eastAsia="仿宋_GB2312" w:cs="Times New Roman"/>
          <w:sz w:val="32"/>
          <w:szCs w:val="20"/>
        </w:rPr>
      </w:pPr>
      <w:r>
        <w:rPr>
          <w:rFonts w:hint="eastAsia" w:ascii="楷体_GB2312" w:hAnsi="楷体_GB2312" w:eastAsia="楷体_GB2312" w:cs="Times New Roman"/>
          <w:b/>
          <w:sz w:val="32"/>
          <w:szCs w:val="32"/>
        </w:rPr>
        <w:t>（二）深入开展专题调研。</w:t>
      </w:r>
      <w:r>
        <w:rPr>
          <w:rFonts w:hint="eastAsia" w:ascii="仿宋_GB2312" w:hAnsi="仿宋_GB2312" w:eastAsia="仿宋_GB2312" w:cs="Times New Roman"/>
          <w:sz w:val="32"/>
          <w:szCs w:val="20"/>
        </w:rPr>
        <w:t>组织开展</w:t>
      </w:r>
      <w:r>
        <w:rPr>
          <w:rFonts w:ascii="仿宋_GB2312" w:hAnsi="仿宋_GB2312" w:eastAsia="仿宋_GB2312" w:cs="Times New Roman"/>
          <w:sz w:val="32"/>
          <w:szCs w:val="20"/>
        </w:rPr>
        <w:t>3</w:t>
      </w:r>
      <w:r>
        <w:rPr>
          <w:rFonts w:hint="eastAsia" w:ascii="仿宋_GB2312" w:hAnsi="仿宋_GB2312" w:eastAsia="仿宋_GB2312" w:cs="Times New Roman"/>
          <w:sz w:val="32"/>
          <w:szCs w:val="20"/>
        </w:rPr>
        <w:t>次电化学储能企业座谈会，认真听取比亚迪、华为数字能源、欣旺达等</w:t>
      </w:r>
      <w:r>
        <w:rPr>
          <w:rFonts w:ascii="仿宋_GB2312" w:hAnsi="仿宋_GB2312" w:eastAsia="仿宋_GB2312" w:cs="Times New Roman"/>
          <w:sz w:val="32"/>
          <w:szCs w:val="20"/>
        </w:rPr>
        <w:t>20</w:t>
      </w:r>
      <w:r>
        <w:rPr>
          <w:rFonts w:hint="eastAsia" w:ascii="仿宋_GB2312" w:hAnsi="仿宋_GB2312" w:eastAsia="仿宋_GB2312" w:cs="Times New Roman"/>
          <w:sz w:val="32"/>
          <w:szCs w:val="20"/>
        </w:rPr>
        <w:t>余家企业专家代表对电化学储能产业链支持建议。召集开展1次主管部门研讨会，充分吸纳各部门对若干措施的编制意见。</w:t>
      </w:r>
    </w:p>
    <w:p>
      <w:pPr>
        <w:pStyle w:val="9"/>
        <w:spacing w:line="560" w:lineRule="exact"/>
        <w:ind w:firstLine="643"/>
        <w:rPr>
          <w:rFonts w:ascii="仿宋_GB2312" w:hAnsi="仿宋_GB2312" w:eastAsia="仿宋_GB2312" w:cs="Times New Roman"/>
          <w:sz w:val="32"/>
          <w:szCs w:val="20"/>
        </w:rPr>
      </w:pPr>
      <w:r>
        <w:rPr>
          <w:rFonts w:hint="eastAsia" w:ascii="楷体_GB2312" w:hAnsi="楷体_GB2312" w:eastAsia="楷体_GB2312" w:cs="Times New Roman"/>
          <w:b/>
          <w:sz w:val="32"/>
          <w:szCs w:val="32"/>
        </w:rPr>
        <w:t>（三）研究编制若干措施。</w:t>
      </w:r>
      <w:r>
        <w:rPr>
          <w:rFonts w:hint="eastAsia" w:ascii="仿宋_GB2312" w:hAnsi="仿宋_GB2312" w:eastAsia="仿宋_GB2312" w:cs="Times New Roman"/>
          <w:sz w:val="32"/>
          <w:szCs w:val="20"/>
        </w:rPr>
        <w:t>根据前期政策研究总结和调研成果，修改完善形成《若干措施》（征求意见稿）。</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三、编制思路</w:t>
      </w:r>
    </w:p>
    <w:p>
      <w:pPr>
        <w:spacing w:line="560" w:lineRule="exact"/>
        <w:ind w:firstLine="643" w:firstLineChars="200"/>
        <w:rPr>
          <w:rFonts w:ascii="仿宋_GB2312" w:hAnsi="仿宋_GB2312" w:eastAsia="仿宋_GB2312" w:cs="Times New Roman"/>
          <w:sz w:val="32"/>
          <w:szCs w:val="20"/>
        </w:rPr>
      </w:pPr>
      <w:r>
        <w:rPr>
          <w:rFonts w:hint="eastAsia" w:ascii="楷体_GB2312" w:hAnsi="楷体_GB2312" w:eastAsia="楷体_GB2312" w:cs="Times New Roman"/>
          <w:b/>
          <w:sz w:val="32"/>
          <w:szCs w:val="32"/>
        </w:rPr>
        <w:t>（一）受益于汽车和消费电子等场景发展，我市电化学储能产业基础、产业链条、企业格局均处全球前列。</w:t>
      </w:r>
      <w:r>
        <w:rPr>
          <w:rFonts w:hint="eastAsia" w:ascii="仿宋_GB2312" w:hAnsi="仿宋_GB2312" w:eastAsia="仿宋_GB2312" w:cs="Times New Roman"/>
          <w:b/>
          <w:bCs/>
          <w:sz w:val="32"/>
          <w:szCs w:val="20"/>
        </w:rPr>
        <w:t>一是</w:t>
      </w:r>
      <w:r>
        <w:rPr>
          <w:rFonts w:hint="eastAsia" w:ascii="仿宋_GB2312" w:hAnsi="仿宋_GB2312" w:eastAsia="仿宋_GB2312" w:cs="Times New Roman"/>
          <w:sz w:val="32"/>
          <w:szCs w:val="20"/>
        </w:rPr>
        <w:t>产业基础良好，</w:t>
      </w:r>
      <w:r>
        <w:rPr>
          <w:rFonts w:hint="eastAsia" w:ascii="仿宋_GB2312" w:hAnsi="仿宋_GB2312" w:eastAsia="仿宋_GB2312" w:cs="Times New Roman"/>
          <w:sz w:val="32"/>
          <w:szCs w:val="20"/>
          <w:lang w:eastAsia="zh-CN"/>
        </w:rPr>
        <w:t>近年来</w:t>
      </w:r>
      <w:r>
        <w:rPr>
          <w:rFonts w:hint="eastAsia" w:ascii="仿宋_GB2312" w:hAnsi="仿宋_GB2312" w:eastAsia="仿宋_GB2312" w:cs="Times New Roman"/>
          <w:sz w:val="32"/>
          <w:szCs w:val="20"/>
        </w:rPr>
        <w:t>储能产业规模增长</w:t>
      </w:r>
      <w:r>
        <w:rPr>
          <w:rFonts w:hint="eastAsia" w:ascii="仿宋_GB2312" w:hAnsi="仿宋_GB2312" w:eastAsia="仿宋_GB2312" w:cs="Times New Roman"/>
          <w:sz w:val="32"/>
          <w:szCs w:val="20"/>
          <w:lang w:eastAsia="zh-CN"/>
        </w:rPr>
        <w:t>较快</w:t>
      </w:r>
      <w:r>
        <w:rPr>
          <w:rFonts w:ascii="仿宋_GB2312" w:hAnsi="仿宋_GB2312" w:eastAsia="仿宋_GB2312" w:cs="Times New Roman"/>
          <w:sz w:val="32"/>
          <w:szCs w:val="20"/>
        </w:rPr>
        <w:t>。</w:t>
      </w:r>
      <w:r>
        <w:rPr>
          <w:rFonts w:ascii="仿宋_GB2312" w:hAnsi="仿宋_GB2312" w:eastAsia="仿宋_GB2312" w:cs="Times New Roman"/>
          <w:b/>
          <w:bCs/>
          <w:sz w:val="32"/>
          <w:szCs w:val="20"/>
        </w:rPr>
        <w:t>二是</w:t>
      </w:r>
      <w:r>
        <w:rPr>
          <w:rFonts w:ascii="仿宋_GB2312" w:hAnsi="仿宋_GB2312" w:eastAsia="仿宋_GB2312" w:cs="Times New Roman"/>
          <w:sz w:val="32"/>
          <w:szCs w:val="20"/>
        </w:rPr>
        <w:t>产业链条完备，全面布局电池材料、精密件、集流体、电池管理系统（BMS）、能量管理系统（EMS）、变流器（PCS）等关键环节。</w:t>
      </w:r>
      <w:r>
        <w:rPr>
          <w:rFonts w:ascii="仿宋_GB2312" w:hAnsi="仿宋_GB2312" w:eastAsia="仿宋_GB2312" w:cs="Times New Roman"/>
          <w:b/>
          <w:bCs/>
          <w:sz w:val="32"/>
          <w:szCs w:val="20"/>
        </w:rPr>
        <w:t>三是</w:t>
      </w:r>
      <w:r>
        <w:rPr>
          <w:rFonts w:ascii="仿宋_GB2312" w:hAnsi="仿宋_GB2312" w:eastAsia="仿宋_GB2312" w:cs="Times New Roman"/>
          <w:sz w:val="32"/>
          <w:szCs w:val="20"/>
        </w:rPr>
        <w:t>企业格局优化，初步集聚</w:t>
      </w:r>
      <w:r>
        <w:rPr>
          <w:rFonts w:hint="eastAsia" w:ascii="仿宋_GB2312" w:hAnsi="仿宋_GB2312" w:eastAsia="仿宋_GB2312" w:cs="Times New Roman"/>
          <w:sz w:val="32"/>
          <w:szCs w:val="20"/>
          <w:lang w:eastAsia="zh-CN"/>
        </w:rPr>
        <w:t>一批</w:t>
      </w:r>
      <w:r>
        <w:rPr>
          <w:rFonts w:hint="eastAsia" w:ascii="仿宋_GB2312" w:hAnsi="仿宋_GB2312" w:eastAsia="仿宋_GB2312" w:cs="Times New Roman"/>
          <w:sz w:val="32"/>
          <w:szCs w:val="20"/>
        </w:rPr>
        <w:t>龙头以及细分领域专精特新企业。</w:t>
      </w:r>
    </w:p>
    <w:p>
      <w:pPr>
        <w:spacing w:line="560" w:lineRule="exact"/>
        <w:ind w:firstLine="643" w:firstLineChars="200"/>
        <w:rPr>
          <w:rFonts w:ascii="楷体_GB2312" w:hAnsi="楷体_GB2312" w:eastAsia="楷体_GB2312" w:cs="Times New Roman"/>
          <w:bCs/>
          <w:sz w:val="32"/>
          <w:szCs w:val="32"/>
        </w:rPr>
      </w:pPr>
      <w:r>
        <w:rPr>
          <w:rFonts w:hint="eastAsia" w:ascii="楷体_GB2312" w:hAnsi="楷体_GB2312" w:eastAsia="楷体_GB2312" w:cs="Times New Roman"/>
          <w:b/>
          <w:sz w:val="32"/>
          <w:szCs w:val="32"/>
        </w:rPr>
        <w:t>（二）全球储能产业爆发为我市电化学储能带来广阔发展机遇。</w:t>
      </w:r>
      <w:r>
        <w:rPr>
          <w:rFonts w:hint="eastAsia" w:ascii="仿宋_GB2312" w:hAnsi="仿宋_GB2312" w:eastAsia="仿宋_GB2312" w:cs="Times New Roman"/>
          <w:sz w:val="32"/>
          <w:szCs w:val="20"/>
        </w:rPr>
        <w:t>近年来国内外新型储能需求指数级增长，推动储能产业成为新风口。据</w:t>
      </w:r>
      <w:r>
        <w:rPr>
          <w:rFonts w:ascii="仿宋_GB2312" w:hAnsi="仿宋_GB2312" w:eastAsia="仿宋_GB2312" w:cs="Times New Roman"/>
          <w:sz w:val="32"/>
          <w:szCs w:val="20"/>
        </w:rPr>
        <w:t>CNESA、中金等行业机构，202</w:t>
      </w:r>
      <w:r>
        <w:rPr>
          <w:rFonts w:hint="eastAsia" w:ascii="仿宋_GB2312" w:hAnsi="仿宋_GB2312" w:eastAsia="仿宋_GB2312" w:cs="Times New Roman"/>
          <w:sz w:val="32"/>
          <w:szCs w:val="20"/>
        </w:rPr>
        <w:t>1</w:t>
      </w:r>
      <w:r>
        <w:rPr>
          <w:rFonts w:ascii="仿宋_GB2312" w:hAnsi="仿宋_GB2312" w:eastAsia="仿宋_GB2312" w:cs="Times New Roman"/>
          <w:sz w:val="32"/>
          <w:szCs w:val="20"/>
        </w:rPr>
        <w:t>年全球新型储能市场累计装机2540万千瓦，同比增长9%。全球2030年新型储能出货量或将超过86400万千瓦，较当前增长33倍，其中海外市场出货量占比超78%。</w:t>
      </w:r>
      <w:r>
        <w:rPr>
          <w:rFonts w:hint="eastAsia" w:ascii="仿宋_GB2312" w:hAnsi="仿宋_GB2312" w:eastAsia="仿宋_GB2312" w:cs="Times New Roman"/>
          <w:sz w:val="32"/>
          <w:szCs w:val="20"/>
        </w:rPr>
        <w:t>受此驱动，我市新型储能（主要是电化学储能）产业有望飞速成长。</w:t>
      </w:r>
    </w:p>
    <w:p>
      <w:pPr>
        <w:spacing w:line="560" w:lineRule="exact"/>
        <w:ind w:firstLine="643" w:firstLineChars="200"/>
        <w:rPr>
          <w:rFonts w:ascii="仿宋_GB2312" w:hAnsi="仿宋_GB2312" w:eastAsia="仿宋_GB2312" w:cs="Times New Roman"/>
          <w:sz w:val="32"/>
          <w:szCs w:val="20"/>
        </w:rPr>
      </w:pPr>
      <w:r>
        <w:rPr>
          <w:rFonts w:hint="eastAsia" w:ascii="楷体_GB2312" w:hAnsi="楷体_GB2312" w:eastAsia="楷体_GB2312" w:cs="Times New Roman"/>
          <w:b/>
          <w:sz w:val="32"/>
          <w:szCs w:val="32"/>
        </w:rPr>
        <w:t>（三）综合考虑全球产业形势和深圳发展基础，建议对完善生态、技术创新、高端制造、商业模式和市场拓展五大方向进行支持。</w:t>
      </w:r>
      <w:r>
        <w:rPr>
          <w:rFonts w:hint="eastAsia" w:ascii="仿宋_GB2312" w:hAnsi="仿宋_GB2312" w:eastAsia="仿宋_GB2312" w:cs="Times New Roman"/>
          <w:sz w:val="32"/>
          <w:szCs w:val="20"/>
        </w:rPr>
        <w:t>结合</w:t>
      </w:r>
      <w:r>
        <w:rPr>
          <w:rFonts w:hint="eastAsia" w:ascii="仿宋_GB2312" w:hAnsi="仿宋_GB2312" w:eastAsia="仿宋_GB2312" w:cs="Times New Roman"/>
          <w:sz w:val="32"/>
          <w:szCs w:val="20"/>
          <w:lang w:eastAsia="zh-CN"/>
        </w:rPr>
        <w:t>重点</w:t>
      </w:r>
      <w:r>
        <w:rPr>
          <w:rFonts w:hint="eastAsia" w:ascii="仿宋_GB2312" w:hAnsi="仿宋_GB2312" w:eastAsia="仿宋_GB2312" w:cs="Times New Roman"/>
          <w:sz w:val="32"/>
          <w:szCs w:val="20"/>
        </w:rPr>
        <w:t>企业调研情况，国外户用储能和电网侧储能受能源价格波动影响率先爆发，我市在产业链安全稳定、先进技术路线布局、规模化先进制造项目等方面</w:t>
      </w:r>
      <w:r>
        <w:rPr>
          <w:rFonts w:hint="eastAsia" w:ascii="仿宋_GB2312" w:hAnsi="仿宋_GB2312" w:eastAsia="仿宋_GB2312" w:cs="Times New Roman"/>
          <w:sz w:val="32"/>
          <w:szCs w:val="20"/>
          <w:lang w:eastAsia="zh-CN"/>
        </w:rPr>
        <w:t>需进一步提升发展能级</w:t>
      </w:r>
      <w:r>
        <w:rPr>
          <w:rFonts w:hint="eastAsia" w:ascii="仿宋_GB2312" w:hAnsi="仿宋_GB2312" w:eastAsia="仿宋_GB2312" w:cs="Times New Roman"/>
          <w:sz w:val="32"/>
          <w:szCs w:val="20"/>
        </w:rPr>
        <w:t>，建议对上述方向进行支持，推进电化学储能产业化、市场化发展。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四、主要内容</w:t>
      </w:r>
    </w:p>
    <w:p>
      <w:pPr>
        <w:spacing w:line="560" w:lineRule="exact"/>
        <w:ind w:firstLine="640" w:firstLineChars="200"/>
        <w:rPr>
          <w:rFonts w:ascii="仿宋_GB2312" w:hAnsi="仿宋_GB2312" w:eastAsia="仿宋_GB2312" w:cs="Times New Roman"/>
          <w:sz w:val="32"/>
          <w:szCs w:val="20"/>
        </w:rPr>
      </w:pPr>
      <w:r>
        <w:rPr>
          <w:rFonts w:hint="eastAsia" w:ascii="仿宋_GB2312" w:hAnsi="仿宋_GB2312" w:eastAsia="仿宋_GB2312" w:cs="Times New Roman"/>
          <w:sz w:val="32"/>
          <w:szCs w:val="20"/>
        </w:rPr>
        <w:t>为精准推进“强链、补链”，《若干措施》针对电化学储能重点领域，形成打造新型产业生态、提升产业创新能力、提高储能先进制造水平、构建新型储能商业模式、加快产业全球化发展五大部分。</w:t>
      </w:r>
    </w:p>
    <w:p>
      <w:pPr>
        <w:pStyle w:val="12"/>
        <w:ind w:firstLine="643"/>
      </w:pPr>
      <w:r>
        <w:rPr>
          <w:rFonts w:hint="eastAsia" w:ascii="楷体_GB2312" w:hAnsi="楷体_GB2312" w:eastAsia="楷体_GB2312"/>
          <w:b/>
          <w:szCs w:val="32"/>
        </w:rPr>
        <w:t>（一）重点支持机构和领域。</w:t>
      </w:r>
      <w:r>
        <w:rPr>
          <w:rFonts w:hint="eastAsia"/>
        </w:rPr>
        <w:t>明确支持领域为先进电化学储能技术路线的原材料、元器件、工艺装备、电芯模组、电池管理系统（BMS）、能量管理系统（EMS）、变流器（PCS）、系统集成、建设运营、市场服务、电池回收与综合利用等重点链条。</w:t>
      </w:r>
    </w:p>
    <w:p>
      <w:pPr>
        <w:spacing w:line="560" w:lineRule="exact"/>
        <w:ind w:firstLine="643" w:firstLineChars="200"/>
        <w:rPr>
          <w:rFonts w:ascii="仿宋_GB2312" w:hAnsi="仿宋_GB2312" w:eastAsia="仿宋_GB2312" w:cs="Times New Roman"/>
          <w:sz w:val="32"/>
          <w:szCs w:val="20"/>
        </w:rPr>
      </w:pPr>
      <w:r>
        <w:rPr>
          <w:rFonts w:hint="eastAsia" w:ascii="楷体_GB2312" w:hAnsi="楷体_GB2312" w:eastAsia="楷体_GB2312" w:cs="Times New Roman"/>
          <w:b/>
          <w:sz w:val="32"/>
          <w:szCs w:val="32"/>
        </w:rPr>
        <w:t>（二）</w:t>
      </w:r>
      <w:r>
        <w:rPr>
          <w:rFonts w:ascii="楷体_GB2312" w:hAnsi="楷体_GB2312" w:eastAsia="楷体_GB2312" w:cs="Times New Roman"/>
          <w:b/>
          <w:sz w:val="32"/>
          <w:szCs w:val="32"/>
        </w:rPr>
        <w:t>打造新型产业生态</w:t>
      </w:r>
      <w:r>
        <w:rPr>
          <w:rFonts w:hint="eastAsia" w:ascii="楷体_GB2312" w:hAnsi="楷体_GB2312" w:eastAsia="楷体_GB2312" w:cs="Times New Roman"/>
          <w:b/>
          <w:sz w:val="32"/>
          <w:szCs w:val="32"/>
        </w:rPr>
        <w:t>。</w:t>
      </w:r>
      <w:r>
        <w:rPr>
          <w:rFonts w:hint="eastAsia" w:ascii="仿宋_GB2312" w:hAnsi="仿宋_GB2312" w:eastAsia="仿宋_GB2312" w:cs="Times New Roman"/>
          <w:sz w:val="32"/>
          <w:szCs w:val="20"/>
        </w:rPr>
        <w:t>分别对提升链主辐射能力、强化龙头企业招引、加快产业稳链保供、成立电化学储能产业联盟四大方向进行支持。</w:t>
      </w:r>
    </w:p>
    <w:p>
      <w:pPr>
        <w:pStyle w:val="14"/>
        <w:ind w:firstLine="643"/>
        <w:rPr>
          <w:b w:val="0"/>
          <w:bCs/>
        </w:rPr>
      </w:pPr>
      <w:r>
        <w:rPr>
          <w:rFonts w:hint="eastAsia"/>
        </w:rPr>
        <w:t>（三）提升产业创新能力。</w:t>
      </w:r>
      <w:r>
        <w:rPr>
          <w:rFonts w:hint="eastAsia" w:ascii="Times New Roman" w:hAnsi="Times New Roman" w:eastAsia="仿宋_GB2312" w:cs="仿宋_GB2312"/>
          <w:b w:val="0"/>
          <w:bCs/>
          <w:szCs w:val="20"/>
        </w:rPr>
        <w:t>分别对突破关键核心技术项目、布局建设创新载体、加快积累知识产权、搭建公共服务平台等五大方向给予资助。</w:t>
      </w:r>
    </w:p>
    <w:p>
      <w:pPr>
        <w:pStyle w:val="14"/>
        <w:ind w:firstLine="643"/>
        <w:rPr>
          <w:rFonts w:ascii="Times New Roman" w:hAnsi="Times New Roman" w:eastAsia="仿宋_GB2312" w:cs="仿宋_GB2312"/>
          <w:b w:val="0"/>
          <w:bCs/>
          <w:szCs w:val="20"/>
        </w:rPr>
      </w:pPr>
      <w:r>
        <w:rPr>
          <w:rFonts w:hint="eastAsia"/>
        </w:rPr>
        <w:t>（四）提高先进制造水平。</w:t>
      </w:r>
      <w:r>
        <w:rPr>
          <w:rFonts w:hint="eastAsia" w:ascii="Times New Roman" w:hAnsi="Times New Roman" w:eastAsia="仿宋_GB2312" w:cs="仿宋_GB2312"/>
          <w:b w:val="0"/>
          <w:bCs/>
          <w:szCs w:val="20"/>
        </w:rPr>
        <w:t>分别对建设储能产业园区、加快先进产品规模化量产、强化“深圳智造”品牌效应等三大方向给予支持。</w:t>
      </w:r>
    </w:p>
    <w:p>
      <w:pPr>
        <w:pStyle w:val="14"/>
        <w:ind w:firstLine="643"/>
        <w:rPr>
          <w:rFonts w:ascii="Times New Roman" w:hAnsi="Times New Roman" w:eastAsia="仿宋_GB2312" w:cs="仿宋_GB2312"/>
          <w:b w:val="0"/>
          <w:bCs/>
          <w:szCs w:val="20"/>
        </w:rPr>
      </w:pPr>
      <w:r>
        <w:rPr>
          <w:rFonts w:hint="eastAsia"/>
        </w:rPr>
        <w:t>（五）构建新型储能商业模式。</w:t>
      </w:r>
      <w:r>
        <w:rPr>
          <w:rFonts w:hint="eastAsia" w:ascii="Times New Roman" w:hAnsi="Times New Roman" w:eastAsia="仿宋_GB2312" w:cs="仿宋_GB2312"/>
          <w:b w:val="0"/>
          <w:bCs/>
          <w:szCs w:val="20"/>
        </w:rPr>
        <w:t>重点支持对稳步拓宽先进储能项目示范应用、拓展以新型储能为主体的电力充储放一张网商业模式、探索以储能为主体的大数据一张网模式示范等三大方向。</w:t>
      </w:r>
    </w:p>
    <w:p>
      <w:pPr>
        <w:adjustRightInd w:val="0"/>
        <w:snapToGrid w:val="0"/>
        <w:spacing w:line="560" w:lineRule="exact"/>
        <w:ind w:firstLine="643" w:firstLineChars="200"/>
        <w:outlineLvl w:val="2"/>
        <w:rPr>
          <w:rFonts w:ascii="Times New Roman" w:hAnsi="Times New Roman" w:eastAsia="仿宋_GB2312" w:cs="仿宋_GB2312"/>
          <w:bCs/>
          <w:sz w:val="32"/>
          <w:szCs w:val="20"/>
        </w:rPr>
      </w:pPr>
      <w:r>
        <w:rPr>
          <w:rFonts w:hint="eastAsia" w:ascii="楷体_GB2312" w:hAnsi="楷体_GB2312" w:eastAsia="楷体_GB2312" w:cs="Times New Roman"/>
          <w:b/>
          <w:sz w:val="32"/>
          <w:szCs w:val="32"/>
        </w:rPr>
        <w:t>（六）</w:t>
      </w:r>
      <w:bookmarkStart w:id="2" w:name="_Hlk124853644"/>
      <w:r>
        <w:rPr>
          <w:rFonts w:hint="eastAsia" w:ascii="楷体_GB2312" w:hAnsi="楷体_GB2312" w:eastAsia="楷体_GB2312" w:cs="Times New Roman"/>
          <w:b/>
          <w:sz w:val="32"/>
          <w:szCs w:val="32"/>
        </w:rPr>
        <w:t>加快产业全球化发展</w:t>
      </w:r>
      <w:bookmarkEnd w:id="2"/>
      <w:r>
        <w:rPr>
          <w:rFonts w:hint="eastAsia" w:ascii="楷体_GB2312" w:hAnsi="楷体_GB2312" w:eastAsia="楷体_GB2312" w:cs="Times New Roman"/>
          <w:b/>
          <w:sz w:val="32"/>
          <w:szCs w:val="32"/>
        </w:rPr>
        <w:t>。</w:t>
      </w:r>
      <w:r>
        <w:rPr>
          <w:rFonts w:hint="eastAsia" w:ascii="Times New Roman" w:hAnsi="Times New Roman" w:eastAsia="仿宋_GB2312" w:cs="仿宋_GB2312"/>
          <w:bCs/>
          <w:sz w:val="32"/>
          <w:szCs w:val="20"/>
        </w:rPr>
        <w:t>重点推动支持企业拓展国内外市场、支持储能海外市场准入认证、提升储能电池出口运输能力、强化海外金融支持、支持企业参加国内外经贸活动等重点方向落地。</w:t>
      </w:r>
    </w:p>
    <w:p>
      <w:pPr>
        <w:spacing w:line="560" w:lineRule="exact"/>
        <w:ind w:firstLine="643" w:firstLineChars="200"/>
        <w:rPr>
          <w:rFonts w:ascii="Times New Roman" w:hAnsi="Times New Roman" w:eastAsia="仿宋_GB2312" w:cs="仿宋_GB2312"/>
          <w:bCs/>
          <w:sz w:val="32"/>
          <w:szCs w:val="20"/>
        </w:rPr>
      </w:pPr>
      <w:r>
        <w:rPr>
          <w:rFonts w:hint="eastAsia" w:ascii="楷体_GB2312" w:hAnsi="楷体_GB2312" w:eastAsia="楷体_GB2312" w:cs="Times New Roman"/>
          <w:b/>
          <w:sz w:val="32"/>
          <w:szCs w:val="32"/>
        </w:rPr>
        <w:t>（七）保障措施。</w:t>
      </w:r>
      <w:r>
        <w:rPr>
          <w:rFonts w:hint="eastAsia" w:ascii="Times New Roman" w:hAnsi="Times New Roman" w:eastAsia="仿宋_GB2312" w:cs="仿宋_GB2312"/>
          <w:bCs/>
          <w:sz w:val="32"/>
          <w:szCs w:val="20"/>
        </w:rPr>
        <w:t>一是强化组织领导。二是加强人才引育。三是加大资金支持。四是强化安全管理。</w:t>
      </w:r>
    </w:p>
    <w:p>
      <w:pPr>
        <w:spacing w:line="560" w:lineRule="exact"/>
        <w:ind w:firstLine="643" w:firstLineChars="200"/>
        <w:rPr>
          <w:rFonts w:ascii="楷体_GB2312" w:hAnsi="楷体_GB2312" w:eastAsia="楷体_GB2312" w:cs="Times New Roman"/>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27"/>
    <w:rsid w:val="0003662B"/>
    <w:rsid w:val="00037493"/>
    <w:rsid w:val="00051848"/>
    <w:rsid w:val="0005460E"/>
    <w:rsid w:val="00055B0E"/>
    <w:rsid w:val="00076D0D"/>
    <w:rsid w:val="00077A66"/>
    <w:rsid w:val="00095FF0"/>
    <w:rsid w:val="000B343C"/>
    <w:rsid w:val="000C7D25"/>
    <w:rsid w:val="000F45F4"/>
    <w:rsid w:val="000F4D92"/>
    <w:rsid w:val="001550A8"/>
    <w:rsid w:val="001828EE"/>
    <w:rsid w:val="0019500A"/>
    <w:rsid w:val="00197DD5"/>
    <w:rsid w:val="001B3772"/>
    <w:rsid w:val="001B6015"/>
    <w:rsid w:val="001E071C"/>
    <w:rsid w:val="0021415A"/>
    <w:rsid w:val="00214813"/>
    <w:rsid w:val="00231909"/>
    <w:rsid w:val="002B5ABF"/>
    <w:rsid w:val="002E1C84"/>
    <w:rsid w:val="002F0392"/>
    <w:rsid w:val="002F3751"/>
    <w:rsid w:val="00314678"/>
    <w:rsid w:val="0031643B"/>
    <w:rsid w:val="00342E1A"/>
    <w:rsid w:val="00350527"/>
    <w:rsid w:val="00373ADD"/>
    <w:rsid w:val="0039364B"/>
    <w:rsid w:val="003A2527"/>
    <w:rsid w:val="003C4E04"/>
    <w:rsid w:val="003C747F"/>
    <w:rsid w:val="003D7F61"/>
    <w:rsid w:val="003E62CE"/>
    <w:rsid w:val="00403835"/>
    <w:rsid w:val="00442254"/>
    <w:rsid w:val="00443F1F"/>
    <w:rsid w:val="00452124"/>
    <w:rsid w:val="00462307"/>
    <w:rsid w:val="004657B1"/>
    <w:rsid w:val="00471F49"/>
    <w:rsid w:val="00473573"/>
    <w:rsid w:val="00495399"/>
    <w:rsid w:val="004B5BCD"/>
    <w:rsid w:val="004C7091"/>
    <w:rsid w:val="004D72CB"/>
    <w:rsid w:val="004E7EA8"/>
    <w:rsid w:val="00506876"/>
    <w:rsid w:val="00522955"/>
    <w:rsid w:val="00523F93"/>
    <w:rsid w:val="00527A60"/>
    <w:rsid w:val="0053727B"/>
    <w:rsid w:val="0057758C"/>
    <w:rsid w:val="00580388"/>
    <w:rsid w:val="00581ABC"/>
    <w:rsid w:val="00597A5F"/>
    <w:rsid w:val="005A32FF"/>
    <w:rsid w:val="005B3564"/>
    <w:rsid w:val="005C0101"/>
    <w:rsid w:val="005D7DAD"/>
    <w:rsid w:val="005E4557"/>
    <w:rsid w:val="006423B3"/>
    <w:rsid w:val="00660C73"/>
    <w:rsid w:val="00662AB7"/>
    <w:rsid w:val="006823B9"/>
    <w:rsid w:val="0068791B"/>
    <w:rsid w:val="00692BA0"/>
    <w:rsid w:val="006B0A08"/>
    <w:rsid w:val="006B1EDC"/>
    <w:rsid w:val="006B5520"/>
    <w:rsid w:val="00723DB2"/>
    <w:rsid w:val="0073048D"/>
    <w:rsid w:val="0073205C"/>
    <w:rsid w:val="0073746A"/>
    <w:rsid w:val="00737DEB"/>
    <w:rsid w:val="00764AED"/>
    <w:rsid w:val="00767CD0"/>
    <w:rsid w:val="007918D3"/>
    <w:rsid w:val="007A3804"/>
    <w:rsid w:val="007B5597"/>
    <w:rsid w:val="007D3EC9"/>
    <w:rsid w:val="007D616C"/>
    <w:rsid w:val="007F4DFE"/>
    <w:rsid w:val="008171BE"/>
    <w:rsid w:val="0082434F"/>
    <w:rsid w:val="008247FE"/>
    <w:rsid w:val="00830819"/>
    <w:rsid w:val="008562E5"/>
    <w:rsid w:val="00863389"/>
    <w:rsid w:val="00874843"/>
    <w:rsid w:val="008B5DD5"/>
    <w:rsid w:val="008B7C34"/>
    <w:rsid w:val="008C02C9"/>
    <w:rsid w:val="008D04F4"/>
    <w:rsid w:val="008D280C"/>
    <w:rsid w:val="008D7922"/>
    <w:rsid w:val="008E122D"/>
    <w:rsid w:val="008F0A32"/>
    <w:rsid w:val="008F1461"/>
    <w:rsid w:val="00914A2E"/>
    <w:rsid w:val="00922F22"/>
    <w:rsid w:val="0093396A"/>
    <w:rsid w:val="00943AAA"/>
    <w:rsid w:val="0096517F"/>
    <w:rsid w:val="00990806"/>
    <w:rsid w:val="009A0871"/>
    <w:rsid w:val="009C6FCD"/>
    <w:rsid w:val="009D684F"/>
    <w:rsid w:val="009E5629"/>
    <w:rsid w:val="009F16CF"/>
    <w:rsid w:val="009F218B"/>
    <w:rsid w:val="00A14804"/>
    <w:rsid w:val="00A16A05"/>
    <w:rsid w:val="00A27166"/>
    <w:rsid w:val="00A36CA1"/>
    <w:rsid w:val="00A53DE2"/>
    <w:rsid w:val="00A874A3"/>
    <w:rsid w:val="00AA0392"/>
    <w:rsid w:val="00AA3B27"/>
    <w:rsid w:val="00AD1343"/>
    <w:rsid w:val="00AE0568"/>
    <w:rsid w:val="00AE0F49"/>
    <w:rsid w:val="00AE1D9D"/>
    <w:rsid w:val="00B1077D"/>
    <w:rsid w:val="00B2091C"/>
    <w:rsid w:val="00B447D9"/>
    <w:rsid w:val="00B45998"/>
    <w:rsid w:val="00B51721"/>
    <w:rsid w:val="00B54EA1"/>
    <w:rsid w:val="00B736D8"/>
    <w:rsid w:val="00B752FA"/>
    <w:rsid w:val="00B77C27"/>
    <w:rsid w:val="00B8362F"/>
    <w:rsid w:val="00B86BF7"/>
    <w:rsid w:val="00B953C1"/>
    <w:rsid w:val="00B96946"/>
    <w:rsid w:val="00BB3EC3"/>
    <w:rsid w:val="00BD1FAE"/>
    <w:rsid w:val="00BE4E0E"/>
    <w:rsid w:val="00C1178F"/>
    <w:rsid w:val="00C129F3"/>
    <w:rsid w:val="00C21671"/>
    <w:rsid w:val="00C242DF"/>
    <w:rsid w:val="00C57AFE"/>
    <w:rsid w:val="00C601CB"/>
    <w:rsid w:val="00C60C0A"/>
    <w:rsid w:val="00C62F4B"/>
    <w:rsid w:val="00C657F6"/>
    <w:rsid w:val="00C86CF3"/>
    <w:rsid w:val="00CA0486"/>
    <w:rsid w:val="00CA3495"/>
    <w:rsid w:val="00CD0121"/>
    <w:rsid w:val="00CD1086"/>
    <w:rsid w:val="00CD4F9A"/>
    <w:rsid w:val="00CE2B18"/>
    <w:rsid w:val="00CF6080"/>
    <w:rsid w:val="00CF609A"/>
    <w:rsid w:val="00D02B75"/>
    <w:rsid w:val="00D1019C"/>
    <w:rsid w:val="00D15C96"/>
    <w:rsid w:val="00D2391F"/>
    <w:rsid w:val="00D25E4E"/>
    <w:rsid w:val="00D449E0"/>
    <w:rsid w:val="00D552AB"/>
    <w:rsid w:val="00D82F8E"/>
    <w:rsid w:val="00D927F0"/>
    <w:rsid w:val="00E26829"/>
    <w:rsid w:val="00E35A2F"/>
    <w:rsid w:val="00E92241"/>
    <w:rsid w:val="00EA1501"/>
    <w:rsid w:val="00EB4066"/>
    <w:rsid w:val="00EC62AB"/>
    <w:rsid w:val="00ED0190"/>
    <w:rsid w:val="00EE34D3"/>
    <w:rsid w:val="00F02F2A"/>
    <w:rsid w:val="00F034C4"/>
    <w:rsid w:val="00F047ED"/>
    <w:rsid w:val="00F11007"/>
    <w:rsid w:val="00F30E57"/>
    <w:rsid w:val="00F57EF1"/>
    <w:rsid w:val="00F81467"/>
    <w:rsid w:val="00F83890"/>
    <w:rsid w:val="00F96DE1"/>
    <w:rsid w:val="00FA410A"/>
    <w:rsid w:val="00FA4792"/>
    <w:rsid w:val="00FC112F"/>
    <w:rsid w:val="00FC4CC0"/>
    <w:rsid w:val="00FD39CD"/>
    <w:rsid w:val="00FF4EF6"/>
    <w:rsid w:val="17DB5F5A"/>
    <w:rsid w:val="27060AF8"/>
    <w:rsid w:val="49E99DB7"/>
    <w:rsid w:val="6DD74018"/>
    <w:rsid w:val="6F798EFF"/>
    <w:rsid w:val="7D7BB862"/>
    <w:rsid w:val="7FFA9ADD"/>
    <w:rsid w:val="7FFE3944"/>
    <w:rsid w:val="BF6B6615"/>
    <w:rsid w:val="F2DFF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rPr>
      <w:rFonts w:ascii="Times New Roman" w:hAnsi="Times New Roman" w:eastAsia="仿宋_GB2312" w:cs="Times New Roman"/>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styleId="8">
    <w:name w:val="annotation reference"/>
    <w:basedOn w:val="6"/>
    <w:semiHidden/>
    <w:unhideWhenUsed/>
    <w:qFormat/>
    <w:uiPriority w:val="99"/>
    <w:rPr>
      <w:sz w:val="21"/>
      <w:szCs w:val="21"/>
    </w:rPr>
  </w:style>
  <w:style w:type="paragraph" w:styleId="9">
    <w:name w:val="List Paragraph"/>
    <w:basedOn w:val="1"/>
    <w:qFormat/>
    <w:uiPriority w:val="34"/>
    <w:pPr>
      <w:ind w:firstLine="420" w:firstLineChars="200"/>
    </w:p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customStyle="1" w:styleId="12">
    <w:name w:val="【正文】"/>
    <w:basedOn w:val="1"/>
    <w:link w:val="13"/>
    <w:qFormat/>
    <w:uiPriority w:val="0"/>
    <w:pPr>
      <w:adjustRightInd w:val="0"/>
      <w:snapToGrid w:val="0"/>
      <w:spacing w:line="560" w:lineRule="exact"/>
      <w:ind w:firstLine="200" w:firstLineChars="200"/>
    </w:pPr>
    <w:rPr>
      <w:rFonts w:ascii="仿宋_GB2312" w:hAnsi="仿宋_GB2312" w:eastAsia="仿宋_GB2312" w:cs="Times New Roman"/>
      <w:sz w:val="32"/>
      <w:szCs w:val="20"/>
    </w:rPr>
  </w:style>
  <w:style w:type="character" w:customStyle="1" w:styleId="13">
    <w:name w:val="【正文】 Char"/>
    <w:link w:val="12"/>
    <w:qFormat/>
    <w:uiPriority w:val="0"/>
    <w:rPr>
      <w:rFonts w:ascii="仿宋_GB2312" w:hAnsi="仿宋_GB2312" w:eastAsia="仿宋_GB2312" w:cs="Times New Roman"/>
      <w:sz w:val="32"/>
      <w:szCs w:val="20"/>
    </w:rPr>
  </w:style>
  <w:style w:type="paragraph" w:customStyle="1" w:styleId="14">
    <w:name w:val="二级标题"/>
    <w:basedOn w:val="1"/>
    <w:next w:val="12"/>
    <w:link w:val="15"/>
    <w:qFormat/>
    <w:uiPriority w:val="0"/>
    <w:pPr>
      <w:adjustRightInd w:val="0"/>
      <w:snapToGrid w:val="0"/>
      <w:spacing w:line="560" w:lineRule="exact"/>
      <w:ind w:firstLine="200" w:firstLineChars="200"/>
      <w:outlineLvl w:val="2"/>
    </w:pPr>
    <w:rPr>
      <w:rFonts w:ascii="楷体_GB2312" w:hAnsi="楷体_GB2312" w:eastAsia="楷体_GB2312" w:cs="Times New Roman"/>
      <w:b/>
      <w:sz w:val="32"/>
      <w:szCs w:val="32"/>
    </w:rPr>
  </w:style>
  <w:style w:type="character" w:customStyle="1" w:styleId="15">
    <w:name w:val="二级标题 Char"/>
    <w:link w:val="14"/>
    <w:qFormat/>
    <w:uiPriority w:val="0"/>
    <w:rPr>
      <w:rFonts w:ascii="楷体_GB2312" w:hAnsi="楷体_GB2312" w:eastAsia="楷体_GB2312" w:cs="Times New Roman"/>
      <w:b/>
      <w:sz w:val="32"/>
      <w:szCs w:val="32"/>
    </w:rPr>
  </w:style>
  <w:style w:type="character" w:customStyle="1" w:styleId="16">
    <w:name w:val="批注文字 字符"/>
    <w:basedOn w:val="6"/>
    <w:link w:val="2"/>
    <w:qFormat/>
    <w:uiPriority w:val="99"/>
    <w:rPr>
      <w:rFonts w:ascii="Times New Roman" w:hAnsi="Times New Roman" w:eastAsia="仿宋_GB2312" w:cs="Times New Roman"/>
      <w:sz w:val="32"/>
      <w:szCs w:val="20"/>
    </w:rPr>
  </w:style>
  <w:style w:type="paragraph" w:customStyle="1" w:styleId="17">
    <w:name w:val="一级标题"/>
    <w:basedOn w:val="1"/>
    <w:next w:val="12"/>
    <w:link w:val="18"/>
    <w:qFormat/>
    <w:uiPriority w:val="0"/>
    <w:pPr>
      <w:adjustRightInd w:val="0"/>
      <w:snapToGrid w:val="0"/>
      <w:spacing w:line="560" w:lineRule="exact"/>
      <w:ind w:firstLine="200" w:firstLineChars="200"/>
      <w:outlineLvl w:val="1"/>
    </w:pPr>
    <w:rPr>
      <w:rFonts w:ascii="黑体" w:hAnsi="黑体" w:eastAsia="黑体" w:cs="Times New Roman"/>
      <w:sz w:val="32"/>
      <w:szCs w:val="32"/>
    </w:rPr>
  </w:style>
  <w:style w:type="character" w:customStyle="1" w:styleId="18">
    <w:name w:val="一级标题 Char"/>
    <w:link w:val="17"/>
    <w:qFormat/>
    <w:uiPriority w:val="0"/>
    <w:rPr>
      <w:rFonts w:ascii="黑体" w:hAnsi="黑体" w:eastAsia="黑体"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2139</Words>
  <Characters>2220</Characters>
  <Lines>17</Lines>
  <Paragraphs>5</Paragraphs>
  <TotalTime>23</TotalTime>
  <ScaleCrop>false</ScaleCrop>
  <LinksUpToDate>false</LinksUpToDate>
  <CharactersWithSpaces>2222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2023-01-19T14:30:00Z</dcterms:created>
  <dc:creator>Peng Yushi</dc:creator>
  <cp:lastModifiedBy>小陈</cp:lastModifiedBy>
  <cp:lastPrinted>2023-01-20T17:13:00Z</cp:lastPrinted>
  <dcterms:modified xsi:type="dcterms:W3CDTF">2023-01-19T04:06:48Z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9D542026D57A4B5FB1DD07534A89A7B6</vt:lpwstr>
  </property>
</Properties>
</file>