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firstLineChars="0"/>
        <w:jc w:val="center"/>
        <w:rPr>
          <w:rFonts w:ascii="宋体" w:hAnsi="宋体" w:eastAsia="宋体"/>
          <w:b/>
          <w:bCs/>
          <w:sz w:val="40"/>
          <w:szCs w:val="40"/>
        </w:rPr>
      </w:pPr>
      <w:r>
        <w:rPr>
          <w:rFonts w:hint="eastAsia" w:ascii="宋体" w:hAnsi="宋体" w:eastAsia="宋体"/>
          <w:b/>
          <w:bCs/>
          <w:sz w:val="40"/>
          <w:szCs w:val="40"/>
        </w:rPr>
        <w:t>深圳市支持电化学储能产业加快发展的若干措施</w:t>
      </w:r>
    </w:p>
    <w:p>
      <w:pPr>
        <w:pStyle w:val="20"/>
        <w:ind w:left="0" w:leftChars="0" w:firstLine="0" w:firstLineChars="0"/>
        <w:jc w:val="center"/>
        <w:rPr>
          <w:rFonts w:ascii="楷体" w:hAnsi="楷体" w:eastAsia="楷体"/>
        </w:rPr>
      </w:pPr>
      <w:r>
        <w:rPr>
          <w:rFonts w:hint="eastAsia" w:ascii="楷体" w:hAnsi="楷体" w:eastAsia="楷体"/>
        </w:rPr>
        <w:t>（征求意见稿）</w:t>
      </w:r>
    </w:p>
    <w:p>
      <w:pPr>
        <w:pStyle w:val="20"/>
        <w:ind w:firstLine="640"/>
      </w:pPr>
    </w:p>
    <w:p>
      <w:pPr>
        <w:pStyle w:val="20"/>
        <w:ind w:firstLine="640"/>
      </w:pPr>
      <w:r>
        <w:rPr>
          <w:rFonts w:hint="eastAsia"/>
        </w:rPr>
        <w:t>为抢抓全球电化学储能产业</w:t>
      </w:r>
      <w:r>
        <w:rPr>
          <w:rFonts w:hint="eastAsia"/>
          <w:lang w:eastAsia="zh-CN"/>
        </w:rPr>
        <w:t>发展</w:t>
      </w:r>
      <w:r>
        <w:rPr>
          <w:rFonts w:hint="eastAsia"/>
        </w:rPr>
        <w:t>机遇，打造世界一流全球储能产业中心，根据《深圳市人民政府关于发展壮大战略性新兴产业集群和培育发展未来产业的意见》《深圳市培育发展新能源产业集群行动计划（2</w:t>
      </w:r>
      <w:r>
        <w:t>022-2025</w:t>
      </w:r>
      <w:r>
        <w:rPr>
          <w:rFonts w:hint="eastAsia"/>
        </w:rPr>
        <w:t>年）》《深圳市促进绿色低碳产业高质量发展的若干措施》等文件精神，制定本措施。</w:t>
      </w:r>
    </w:p>
    <w:p>
      <w:pPr>
        <w:pStyle w:val="19"/>
        <w:numPr>
          <w:ilvl w:val="0"/>
          <w:numId w:val="1"/>
        </w:numPr>
        <w:ind w:firstLineChars="0"/>
      </w:pPr>
      <w:r>
        <w:rPr>
          <w:rFonts w:hint="eastAsia"/>
        </w:rPr>
        <w:t>重点支持机构和领域</w:t>
      </w:r>
    </w:p>
    <w:p>
      <w:pPr>
        <w:pStyle w:val="20"/>
        <w:ind w:firstLine="640"/>
      </w:pPr>
      <w:r>
        <w:rPr>
          <w:rFonts w:hint="eastAsia"/>
        </w:rPr>
        <w:t>本措施适用于已登记注册，具备独立法人资格，从事电化学储能研发、生产和服务的企业以及其他事业单位、社会团体、民办非企业等机构。</w:t>
      </w:r>
    </w:p>
    <w:p>
      <w:pPr>
        <w:pStyle w:val="20"/>
        <w:ind w:firstLine="640"/>
      </w:pPr>
      <w:r>
        <w:rPr>
          <w:rFonts w:hint="eastAsia"/>
        </w:rPr>
        <w:t>本措施重点支持面向锂离子电池、钠离子电池、镁离子电池、液流电池等先进电化学储能技术路线的原材料、元器件（IGBT、MOS</w:t>
      </w:r>
      <w:r>
        <w:t>FET</w:t>
      </w:r>
      <w:r>
        <w:rPr>
          <w:rFonts w:hint="eastAsia"/>
        </w:rPr>
        <w:t>、DSP等芯片）、工艺装备、电芯模组、电池管理系统（BMS）、能量管理系统（EMS）、变流器（PCS）、系统集成（安全预警与状态估计、高效灭火及防复燃等）、建设运营（电源侧储能、电网侧储能、数据中心备用电源、5G基站备用电源、户用储能等）、市场服务（虚拟电厂、共享储能、储能大数据等）、电池回收与综合利用（梯次利用、再生利用）等重点领域链条。</w:t>
      </w:r>
    </w:p>
    <w:p>
      <w:pPr>
        <w:pStyle w:val="19"/>
        <w:numPr>
          <w:ilvl w:val="0"/>
          <w:numId w:val="1"/>
        </w:numPr>
        <w:ind w:firstLineChars="0"/>
      </w:pPr>
      <w:r>
        <w:rPr>
          <w:rFonts w:hint="eastAsia"/>
        </w:rPr>
        <w:t>打造新型产业生态</w:t>
      </w:r>
    </w:p>
    <w:p>
      <w:pPr>
        <w:pStyle w:val="20"/>
        <w:ind w:firstLine="643"/>
        <w:rPr>
          <w:rFonts w:ascii="楷体" w:hAnsi="楷体" w:eastAsia="楷体"/>
        </w:rPr>
      </w:pPr>
      <w:r>
        <w:rPr>
          <w:rStyle w:val="24"/>
          <w:rFonts w:hint="eastAsia"/>
        </w:rPr>
        <w:t>（一）提升链主辐射能力。</w:t>
      </w:r>
      <w:r>
        <w:rPr>
          <w:rFonts w:hint="eastAsia"/>
        </w:rPr>
        <w:t>鼓励电芯模组、系统集成等生态龙头为上下游企业提供质量管理、追溯服务、金融服务、研发设计、采购分销等拓展服务，对供应链企业的经营性贷款利息按不超过30%，给予最高300万元贴息。扩大人民银行“商票通”业务规模，鼓励链主企业对上下游企业以商业票据方式结算。</w:t>
      </w:r>
      <w:r>
        <w:rPr>
          <w:rFonts w:hint="eastAsia" w:ascii="楷体" w:hAnsi="楷体" w:eastAsia="楷体"/>
        </w:rPr>
        <w:t>（市发展改革委、</w:t>
      </w:r>
      <w:r>
        <w:rPr>
          <w:rFonts w:hint="default" w:ascii="楷体" w:hAnsi="楷体" w:eastAsia="楷体"/>
        </w:rPr>
        <w:t>工业和信息化</w:t>
      </w:r>
      <w:r>
        <w:rPr>
          <w:rFonts w:hint="eastAsia" w:ascii="楷体" w:hAnsi="楷体" w:eastAsia="楷体"/>
        </w:rPr>
        <w:t>局、商务局、各区（新区、管委会）负责）</w:t>
      </w:r>
    </w:p>
    <w:p>
      <w:pPr>
        <w:pStyle w:val="19"/>
        <w:ind w:firstLine="643"/>
        <w:outlineLvl w:val="9"/>
        <w:rPr>
          <w:rFonts w:ascii="楷体" w:hAnsi="楷体" w:eastAsia="楷体"/>
          <w:szCs w:val="20"/>
        </w:rPr>
      </w:pPr>
      <w:r>
        <w:rPr>
          <w:rStyle w:val="24"/>
          <w:rFonts w:hint="eastAsia"/>
        </w:rPr>
        <w:t>（二）强化龙头企业招引。</w:t>
      </w:r>
      <w:r>
        <w:rPr>
          <w:rStyle w:val="23"/>
          <w:rFonts w:hint="eastAsia"/>
        </w:rPr>
        <w:t>对符合条件的储能电池国际总部、区域总部企业，可给予落地奖励1000万元，重点引进的特别重大企业，可在与市政府签订合作协议时另行约定。对具有特别贡献的总部企业，按照上一年度形成本市地方财力超过前两年度最高值的部分再乘以30%计算，原则上最高不超过2000万元。</w:t>
      </w:r>
      <w:r>
        <w:rPr>
          <w:rFonts w:hint="eastAsia" w:ascii="楷体" w:hAnsi="楷体" w:eastAsia="楷体"/>
          <w:szCs w:val="20"/>
        </w:rPr>
        <w:t>（市发展改革委、各区（新区、管委会）负责）</w:t>
      </w:r>
    </w:p>
    <w:p>
      <w:pPr>
        <w:pStyle w:val="20"/>
        <w:ind w:firstLine="643"/>
        <w:rPr>
          <w:rFonts w:ascii="楷体" w:hAnsi="楷体" w:eastAsia="楷体"/>
        </w:rPr>
      </w:pPr>
      <w:r>
        <w:rPr>
          <w:rStyle w:val="24"/>
        </w:rPr>
        <w:t>（</w:t>
      </w:r>
      <w:r>
        <w:rPr>
          <w:rStyle w:val="24"/>
          <w:rFonts w:hint="eastAsia"/>
        </w:rPr>
        <w:t>三</w:t>
      </w:r>
      <w:r>
        <w:rPr>
          <w:rStyle w:val="24"/>
        </w:rPr>
        <w:t>）</w:t>
      </w:r>
      <w:r>
        <w:rPr>
          <w:rStyle w:val="24"/>
          <w:rFonts w:hint="eastAsia"/>
        </w:rPr>
        <w:t>加快产业稳链保供。</w:t>
      </w:r>
      <w:r>
        <w:rPr>
          <w:rFonts w:hint="eastAsia"/>
        </w:rPr>
        <w:t>发挥本地电芯模组、变流器、系统集成等生态链主企业“以商招商”作用，支持镍钴锂等矿产资源贸易商依托前海联合交易中心搭建矿产资源交易平台。政企协作积极引进硅基IGBT、SiC</w:t>
      </w:r>
      <w:r>
        <w:t xml:space="preserve"> </w:t>
      </w:r>
      <w:r>
        <w:rPr>
          <w:rFonts w:hint="eastAsia"/>
        </w:rPr>
        <w:t>MOSFET等电子元器件制造商以及大型能源央企，持续提升储能产业链的安全性和稳定性。</w:t>
      </w:r>
      <w:r>
        <w:rPr>
          <w:rFonts w:hint="eastAsia" w:ascii="楷体" w:hAnsi="楷体" w:eastAsia="楷体"/>
        </w:rPr>
        <w:t>（市商务局、发展改革委、各区（新区、管委会）负责）</w:t>
      </w:r>
    </w:p>
    <w:p>
      <w:pPr>
        <w:pStyle w:val="20"/>
        <w:ind w:firstLine="643"/>
        <w:rPr>
          <w:rFonts w:ascii="楷体" w:hAnsi="楷体" w:eastAsia="楷体"/>
        </w:rPr>
      </w:pPr>
      <w:r>
        <w:rPr>
          <w:rStyle w:val="24"/>
          <w:rFonts w:hint="eastAsia"/>
        </w:rPr>
        <w:t>（四）成立电化学储能产业联盟。</w:t>
      </w:r>
      <w:r>
        <w:rPr>
          <w:rFonts w:hint="eastAsia"/>
        </w:rPr>
        <w:t>发挥产业链上下游合力强化市场服务共享、技术研发共通、质量标准体系共建、知识产权共用，助力打造世界一流新型储能产业中心，支持联盟等社会组织发展，经评审予以最高300万元资助。</w:t>
      </w:r>
      <w:r>
        <w:rPr>
          <w:rFonts w:hint="eastAsia" w:ascii="楷体" w:hAnsi="楷体" w:eastAsia="楷体"/>
        </w:rPr>
        <w:t>（市发展改革委、各区（新区、管委会）负责）</w:t>
      </w:r>
    </w:p>
    <w:p>
      <w:pPr>
        <w:pStyle w:val="19"/>
        <w:numPr>
          <w:ilvl w:val="0"/>
          <w:numId w:val="1"/>
        </w:numPr>
        <w:ind w:firstLineChars="0"/>
      </w:pPr>
      <w:r>
        <w:rPr>
          <w:rFonts w:hint="eastAsia"/>
        </w:rPr>
        <w:t>提升产业创新能力</w:t>
      </w:r>
    </w:p>
    <w:p>
      <w:pPr>
        <w:pStyle w:val="20"/>
        <w:ind w:firstLine="643"/>
        <w:rPr>
          <w:rFonts w:ascii="楷体" w:hAnsi="楷体" w:eastAsia="楷体"/>
        </w:rPr>
      </w:pPr>
      <w:r>
        <w:rPr>
          <w:rStyle w:val="24"/>
        </w:rPr>
        <w:t>（</w:t>
      </w:r>
      <w:r>
        <w:rPr>
          <w:rStyle w:val="24"/>
          <w:rFonts w:hint="eastAsia"/>
        </w:rPr>
        <w:t>五</w:t>
      </w:r>
      <w:r>
        <w:rPr>
          <w:rStyle w:val="24"/>
        </w:rPr>
        <w:t>）</w:t>
      </w:r>
      <w:r>
        <w:rPr>
          <w:rStyle w:val="24"/>
          <w:rFonts w:hint="eastAsia"/>
        </w:rPr>
        <w:t>突破关键核心技术。</w:t>
      </w:r>
      <w:r>
        <w:rPr>
          <w:rFonts w:hint="eastAsia"/>
        </w:rPr>
        <w:t>针对钠离子电池、镁离子电池、全固态锂电池等前沿重点领域开展关键技术攻关，单个项目予以最高 1000万元支持。鼓励企业与高校、科研机构合作开展研发储备前沿储能技术，单个项目支持力度不超过3</w:t>
      </w:r>
      <w:r>
        <w:t>00</w:t>
      </w:r>
      <w:r>
        <w:rPr>
          <w:rFonts w:hint="eastAsia"/>
        </w:rPr>
        <w:t>万元。</w:t>
      </w:r>
      <w:r>
        <w:rPr>
          <w:rFonts w:hint="eastAsia" w:ascii="楷体" w:hAnsi="楷体" w:eastAsia="楷体"/>
        </w:rPr>
        <w:t>（市科技创新委负责）</w:t>
      </w:r>
    </w:p>
    <w:p>
      <w:pPr>
        <w:pStyle w:val="20"/>
        <w:ind w:firstLine="643"/>
        <w:rPr>
          <w:rFonts w:ascii="楷体" w:hAnsi="楷体" w:eastAsia="楷体"/>
        </w:rPr>
      </w:pPr>
      <w:r>
        <w:rPr>
          <w:rStyle w:val="24"/>
        </w:rPr>
        <w:t>（</w:t>
      </w:r>
      <w:r>
        <w:rPr>
          <w:rStyle w:val="24"/>
          <w:rFonts w:hint="eastAsia"/>
        </w:rPr>
        <w:t>六</w:t>
      </w:r>
      <w:r>
        <w:rPr>
          <w:rStyle w:val="24"/>
        </w:rPr>
        <w:t>）</w:t>
      </w:r>
      <w:r>
        <w:rPr>
          <w:rStyle w:val="24"/>
          <w:rFonts w:hint="eastAsia"/>
        </w:rPr>
        <w:t>布局建设创新载体。</w:t>
      </w:r>
      <w:r>
        <w:rPr>
          <w:rFonts w:hint="eastAsia"/>
        </w:rPr>
        <w:t>面向高安全、低成本、长寿命储能电池发展需求布局建设一批重点实验室、工程研究中心、企业技术中心、产业创新中心、制造业创新中心，按最高不超过1000万元予以资助。对获批国家重点实验室、国家工程研究中心等国家级创新载体的给予最高不超过3000万元的支持。</w:t>
      </w:r>
      <w:r>
        <w:rPr>
          <w:rFonts w:hint="eastAsia" w:ascii="楷体" w:hAnsi="楷体" w:eastAsia="楷体"/>
        </w:rPr>
        <w:t>（市科技创新委、工业和信息化局、发展改革委负责）</w:t>
      </w:r>
    </w:p>
    <w:p>
      <w:pPr>
        <w:pStyle w:val="20"/>
        <w:ind w:firstLine="643"/>
        <w:rPr>
          <w:rFonts w:ascii="楷体" w:hAnsi="楷体" w:eastAsia="楷体"/>
        </w:rPr>
      </w:pPr>
      <w:r>
        <w:rPr>
          <w:rFonts w:hint="eastAsia" w:ascii="楷体" w:hAnsi="楷体" w:eastAsia="楷体"/>
          <w:b/>
          <w:bCs/>
        </w:rPr>
        <w:t>（七）强化标准制定保障。</w:t>
      </w:r>
      <w:r>
        <w:rPr>
          <w:rFonts w:hint="eastAsia"/>
        </w:rPr>
        <w:t>支持企业主导参与钠离子电池、电池回收利用、储能碳标识认证、储能电池安全包装等领域国际标准、国家标准、行业标准、地方标准的制定、修订项目，按项目级别分别给予不超过100万元、50万元、30万元和2</w:t>
      </w:r>
      <w:r>
        <w:t>0</w:t>
      </w:r>
      <w:r>
        <w:rPr>
          <w:rFonts w:hint="eastAsia"/>
        </w:rPr>
        <w:t>万元的资助。鼓励企业、高校科研机构牵头制定储能地方标准，对符合要求的标准优先予以立项审批发布。对承担储能领域国际性标准化技术委员会、分技术委员会、工作组秘书处或召集人工作的单位，分别给予最高不超过180万元、120万元和30万元的资助。</w:t>
      </w:r>
      <w:r>
        <w:rPr>
          <w:rFonts w:hint="eastAsia" w:ascii="楷体" w:hAnsi="楷体" w:eastAsia="楷体"/>
        </w:rPr>
        <w:t>（市市场监管局、发展改革委负责）</w:t>
      </w:r>
    </w:p>
    <w:p>
      <w:pPr>
        <w:pStyle w:val="20"/>
        <w:ind w:firstLine="643"/>
        <w:rPr>
          <w:rFonts w:ascii="楷体" w:hAnsi="楷体" w:eastAsia="楷体"/>
        </w:rPr>
      </w:pPr>
      <w:r>
        <w:rPr>
          <w:rFonts w:hint="eastAsia" w:ascii="楷体" w:hAnsi="楷体" w:eastAsia="楷体"/>
          <w:b/>
          <w:bCs/>
        </w:rPr>
        <w:t>（八）加快积累知识产权。</w:t>
      </w:r>
      <w:r>
        <w:rPr>
          <w:rFonts w:hint="eastAsia"/>
        </w:rPr>
        <w:t>对符合条件的欧、美、日、韩等国家地区储能发明专利授权分别给予每项1.7万元、0.45万元、0.17万元和0.11万元资助。鼓励高校及科研院所免费开放储能专利供企业使用，对符合要求的高校科研院所</w:t>
      </w:r>
      <w:r>
        <w:rPr>
          <w:rFonts w:hint="eastAsia"/>
          <w:lang w:val="en-US" w:eastAsia="zh-CN"/>
        </w:rPr>
        <w:t>按规定给予相</w:t>
      </w:r>
      <w:bookmarkStart w:id="0" w:name="_GoBack"/>
      <w:bookmarkEnd w:id="0"/>
      <w:r>
        <w:rPr>
          <w:rFonts w:hint="eastAsia"/>
          <w:lang w:val="en-US" w:eastAsia="zh-CN"/>
        </w:rPr>
        <w:t>应</w:t>
      </w:r>
      <w:r>
        <w:t>支持</w:t>
      </w:r>
      <w:r>
        <w:rPr>
          <w:rFonts w:hint="eastAsia"/>
        </w:rPr>
        <w:t>。支持储能产业联盟开展知识产权数据库建设、专利池组建等工作，每年资助不超过50万元。</w:t>
      </w:r>
      <w:r>
        <w:rPr>
          <w:rFonts w:hint="eastAsia" w:ascii="楷体" w:hAnsi="楷体" w:eastAsia="楷体"/>
        </w:rPr>
        <w:t>（市市场监管局、教育局、发展改革委负责）</w:t>
      </w:r>
    </w:p>
    <w:p>
      <w:pPr>
        <w:pStyle w:val="20"/>
        <w:ind w:firstLine="643"/>
        <w:rPr>
          <w:rFonts w:ascii="楷体" w:hAnsi="楷体" w:eastAsia="楷体"/>
        </w:rPr>
      </w:pPr>
      <w:r>
        <w:rPr>
          <w:rFonts w:hint="eastAsia" w:ascii="楷体" w:hAnsi="楷体" w:eastAsia="楷体"/>
          <w:b/>
          <w:bCs/>
        </w:rPr>
        <w:t>（九）搭建公共服务平台。</w:t>
      </w:r>
      <w:r>
        <w:rPr>
          <w:rFonts w:hint="eastAsia"/>
        </w:rPr>
        <w:t>鼓励龙头企业联动上下游供应链、高校研发机构面向共性技术研发、检验检测、市场拓展、平台运营服务、安全预警等需求搭建公共服务平台，给予不超过1000万元的支持。</w:t>
      </w:r>
      <w:r>
        <w:rPr>
          <w:rFonts w:hint="eastAsia" w:ascii="楷体" w:hAnsi="楷体" w:eastAsia="楷体"/>
        </w:rPr>
        <w:t>（市发展改革委负责）</w:t>
      </w:r>
    </w:p>
    <w:p>
      <w:pPr>
        <w:pStyle w:val="19"/>
        <w:ind w:firstLine="640"/>
      </w:pPr>
      <w:r>
        <w:rPr>
          <w:rFonts w:hint="eastAsia"/>
        </w:rPr>
        <w:t>四、提高储能先进制造水平</w:t>
      </w:r>
    </w:p>
    <w:p>
      <w:pPr>
        <w:pStyle w:val="20"/>
        <w:ind w:firstLine="643"/>
        <w:rPr>
          <w:rFonts w:ascii="楷体" w:hAnsi="楷体" w:eastAsia="楷体"/>
        </w:rPr>
      </w:pPr>
      <w:r>
        <w:rPr>
          <w:rStyle w:val="24"/>
          <w:rFonts w:hint="eastAsia"/>
        </w:rPr>
        <w:t>（十）建设储能产业园区。</w:t>
      </w:r>
      <w:r>
        <w:rPr>
          <w:rFonts w:hint="eastAsia"/>
        </w:rPr>
        <w:t>按照全市“20＋8”产业集群规划部署，支持坪山区、龙华区建设一批绿色智能、集中度高的先进储能研发制造园区，推动深汕特别合作区依托化工园区、生态环境园等优势布局电池材料、电池回收与综合利用等项目。鼓励各区优化园区配套设施，强化水电气供应保障，配套建设污水深度处理和回用设施。</w:t>
      </w:r>
      <w:r>
        <w:rPr>
          <w:rFonts w:hint="eastAsia" w:ascii="楷体" w:hAnsi="楷体" w:eastAsia="楷体"/>
        </w:rPr>
        <w:t>（</w:t>
      </w:r>
      <w:r>
        <w:rPr>
          <w:rFonts w:hint="default" w:ascii="楷体" w:hAnsi="楷体" w:eastAsia="楷体"/>
        </w:rPr>
        <w:t>市工业和信息化</w:t>
      </w:r>
      <w:r>
        <w:rPr>
          <w:rFonts w:hint="eastAsia" w:ascii="楷体" w:hAnsi="楷体" w:eastAsia="楷体"/>
        </w:rPr>
        <w:t>局、发展改革委、各区（新区、管委会）负责）</w:t>
      </w:r>
    </w:p>
    <w:p>
      <w:pPr>
        <w:pStyle w:val="20"/>
        <w:ind w:firstLine="643"/>
        <w:rPr>
          <w:rFonts w:ascii="楷体" w:hAnsi="楷体" w:eastAsia="楷体"/>
        </w:rPr>
      </w:pPr>
      <w:r>
        <w:rPr>
          <w:rFonts w:hint="eastAsia" w:ascii="楷体" w:hAnsi="楷体" w:eastAsia="楷体"/>
          <w:b/>
          <w:bCs/>
        </w:rPr>
        <w:t>（十一）加快先进产品规模化量产。</w:t>
      </w:r>
      <w:r>
        <w:rPr>
          <w:rFonts w:hint="eastAsia"/>
        </w:rPr>
        <w:t>鼓励企业围绕源网荷三端需求定制化储能产品，面向原材料、元器件、电芯模组、控制系统等重点领域建设中试生产线，予以最高 1000 万元支持。支持企业实施自主创新成果产业化项目，予以最高 1500 万元支持。对企业实施的产线技术改造项目实行分档分类支持，按不超过项目投资额的20%，给予最高5000万元资助。</w:t>
      </w:r>
      <w:r>
        <w:rPr>
          <w:rFonts w:hint="eastAsia" w:ascii="楷体" w:hAnsi="楷体" w:eastAsia="楷体"/>
        </w:rPr>
        <w:t>（</w:t>
      </w:r>
      <w:r>
        <w:rPr>
          <w:rFonts w:hint="default" w:ascii="楷体" w:hAnsi="楷体" w:eastAsia="楷体"/>
        </w:rPr>
        <w:t>市工业和信息化</w:t>
      </w:r>
      <w:r>
        <w:rPr>
          <w:rFonts w:hint="eastAsia" w:ascii="楷体" w:hAnsi="楷体" w:eastAsia="楷体"/>
        </w:rPr>
        <w:t>局、发展改革委、各区（新区、管委会）负责）</w:t>
      </w:r>
    </w:p>
    <w:p>
      <w:pPr>
        <w:pStyle w:val="20"/>
        <w:ind w:firstLine="643"/>
        <w:rPr>
          <w:rFonts w:ascii="楷体" w:hAnsi="楷体" w:eastAsia="楷体"/>
          <w:b/>
          <w:bCs/>
        </w:rPr>
      </w:pPr>
      <w:r>
        <w:rPr>
          <w:rFonts w:hint="eastAsia" w:ascii="楷体" w:hAnsi="楷体" w:eastAsia="楷体"/>
          <w:b/>
          <w:bCs/>
        </w:rPr>
        <w:t>（十二）强化“深圳智造”品牌效应。</w:t>
      </w:r>
      <w:r>
        <w:rPr>
          <w:rFonts w:hint="eastAsia"/>
        </w:rPr>
        <w:t>鼓励企业提升储能产品服务质量和品牌影响力，对符合条件的企业给予最高500万元资助。支持举办高规格储能展会及论坛，进一步提升“高端储能深圳智造”影响力，对符合条件的项目给予不超过300万元的支持。</w:t>
      </w:r>
      <w:r>
        <w:rPr>
          <w:rFonts w:hint="eastAsia" w:ascii="楷体" w:hAnsi="楷体" w:eastAsia="楷体"/>
        </w:rPr>
        <w:t>（</w:t>
      </w:r>
      <w:r>
        <w:rPr>
          <w:rFonts w:hint="default" w:ascii="楷体" w:hAnsi="楷体" w:eastAsia="楷体"/>
        </w:rPr>
        <w:t>市工业和信息化</w:t>
      </w:r>
      <w:r>
        <w:rPr>
          <w:rFonts w:hint="eastAsia" w:ascii="楷体" w:hAnsi="楷体" w:eastAsia="楷体"/>
        </w:rPr>
        <w:t>局、发展改革委、各区（新区、管委会）负责）</w:t>
      </w:r>
    </w:p>
    <w:p>
      <w:pPr>
        <w:pStyle w:val="19"/>
        <w:numPr>
          <w:ilvl w:val="0"/>
          <w:numId w:val="2"/>
        </w:numPr>
        <w:ind w:firstLineChars="0"/>
      </w:pPr>
      <w:r>
        <w:rPr>
          <w:rFonts w:hint="eastAsia"/>
        </w:rPr>
        <w:t>优化构建储能商业模式</w:t>
      </w:r>
    </w:p>
    <w:p>
      <w:pPr>
        <w:pStyle w:val="20"/>
        <w:ind w:firstLine="643"/>
        <w:rPr>
          <w:rFonts w:ascii="楷体" w:hAnsi="楷体" w:eastAsia="楷体"/>
        </w:rPr>
      </w:pPr>
      <w:r>
        <w:rPr>
          <w:rStyle w:val="24"/>
        </w:rPr>
        <w:t>（</w:t>
      </w:r>
      <w:r>
        <w:rPr>
          <w:rStyle w:val="24"/>
          <w:rFonts w:hint="eastAsia"/>
        </w:rPr>
        <w:t>十三</w:t>
      </w:r>
      <w:r>
        <w:rPr>
          <w:rStyle w:val="24"/>
        </w:rPr>
        <w:t>）</w:t>
      </w:r>
      <w:r>
        <w:rPr>
          <w:rStyle w:val="24"/>
          <w:rFonts w:hint="eastAsia"/>
        </w:rPr>
        <w:t>稳步拓宽先进储能项目示范应用</w:t>
      </w:r>
      <w:r>
        <w:rPr>
          <w:rFonts w:hint="eastAsia"/>
          <w:b/>
        </w:rPr>
        <w:t>。</w:t>
      </w:r>
      <w:r>
        <w:rPr>
          <w:rFonts w:hint="eastAsia"/>
          <w:bCs/>
        </w:rPr>
        <w:t>支持本地燃煤燃气电厂</w:t>
      </w:r>
      <w:r>
        <w:rPr>
          <w:rFonts w:hint="eastAsia"/>
        </w:rPr>
        <w:t>灵活</w:t>
      </w:r>
      <w:r>
        <w:rPr>
          <w:rFonts w:hint="eastAsia"/>
          <w:bCs/>
        </w:rPr>
        <w:t>配储，</w:t>
      </w:r>
      <w:r>
        <w:rPr>
          <w:rFonts w:hint="eastAsia"/>
        </w:rPr>
        <w:t>提高电源侧系统调节能力和容量支撑能力。鼓励电网企业在关键节点合理布局储能项目，提升电力安全保障水平和系统综合效率。支持用户侧储能多元化发展，探索大数据中心、5G基站、充电设施（含多功能智能杆）、工业园区等储能融合发展新场景。对先进的储能示范项目给予财政资金支持，项目最高支持力度不超过</w:t>
      </w:r>
      <w:r>
        <w:t>1000</w:t>
      </w:r>
      <w:r>
        <w:rPr>
          <w:rFonts w:hint="eastAsia"/>
        </w:rPr>
        <w:t>万元。</w:t>
      </w:r>
      <w:r>
        <w:rPr>
          <w:rFonts w:hint="eastAsia" w:ascii="楷体" w:hAnsi="楷体" w:eastAsia="楷体"/>
        </w:rPr>
        <w:t>（市发展改革委、国资委、深圳供电局负责）</w:t>
      </w:r>
    </w:p>
    <w:p>
      <w:pPr>
        <w:pStyle w:val="20"/>
        <w:ind w:firstLine="643"/>
        <w:rPr>
          <w:rFonts w:ascii="楷体" w:hAnsi="楷体" w:eastAsia="楷体"/>
        </w:rPr>
      </w:pPr>
      <w:r>
        <w:rPr>
          <w:rStyle w:val="24"/>
          <w:rFonts w:hint="eastAsia"/>
        </w:rPr>
        <w:t>（十四）拓展以新型储能为主体的电力充储放一张网商业模式。</w:t>
      </w:r>
      <w:r>
        <w:rPr>
          <w:rFonts w:hint="eastAsia"/>
        </w:rPr>
        <w:t>重点针对</w:t>
      </w:r>
      <w:r>
        <w:t>5G基站备用电源储能</w:t>
      </w:r>
      <w:r>
        <w:rPr>
          <w:rFonts w:hint="eastAsia"/>
        </w:rPr>
        <w:t>、数据中心备用电源储能、火电机组配储、工商业储能、新能源汽车移动储能等场景开展虚拟电厂响应示范，对符合条件的项目最高支持力度不超过</w:t>
      </w:r>
      <w:r>
        <w:t>100万元。</w:t>
      </w:r>
      <w:r>
        <w:rPr>
          <w:rFonts w:hint="eastAsia"/>
        </w:rPr>
        <w:t>支持储能电池参与市虚拟电厂精准响应，面向深圳特色场景试点实行用户日前竞价、市场统一出清的响应模式。</w:t>
      </w:r>
      <w:r>
        <w:rPr>
          <w:rFonts w:hint="eastAsia" w:ascii="楷体" w:hAnsi="楷体" w:eastAsia="楷体"/>
        </w:rPr>
        <w:t>（市发展改革委、深圳供电局负责）</w:t>
      </w:r>
    </w:p>
    <w:p>
      <w:pPr>
        <w:pStyle w:val="20"/>
        <w:ind w:firstLine="643"/>
        <w:rPr>
          <w:rFonts w:ascii="楷体" w:hAnsi="楷体" w:eastAsia="楷体"/>
        </w:rPr>
      </w:pPr>
      <w:r>
        <w:rPr>
          <w:rStyle w:val="24"/>
        </w:rPr>
        <w:t>（</w:t>
      </w:r>
      <w:r>
        <w:rPr>
          <w:rStyle w:val="24"/>
          <w:rFonts w:hint="eastAsia"/>
        </w:rPr>
        <w:t>十五</w:t>
      </w:r>
      <w:r>
        <w:rPr>
          <w:rStyle w:val="24"/>
        </w:rPr>
        <w:t>）</w:t>
      </w:r>
      <w:r>
        <w:rPr>
          <w:rStyle w:val="24"/>
          <w:rFonts w:hint="eastAsia"/>
        </w:rPr>
        <w:t>探索以储能为主体的大数据一张网模式示范</w:t>
      </w:r>
      <w:r>
        <w:rPr>
          <w:rFonts w:hint="eastAsia"/>
        </w:rPr>
        <w:t>。依托深圳市虚拟电厂管理云平台建设电化学储能在线监测平台。鼓励企业建设储能在线监测系统，孵化电化学储能数据交易服务产品。支持企业落地全球化储能数据服务中心。</w:t>
      </w:r>
      <w:r>
        <w:rPr>
          <w:rFonts w:hint="eastAsia" w:ascii="楷体" w:hAnsi="楷体" w:eastAsia="楷体"/>
        </w:rPr>
        <w:t>（市发展改革委、深圳供电局负责）</w:t>
      </w:r>
    </w:p>
    <w:p>
      <w:pPr>
        <w:pStyle w:val="19"/>
        <w:ind w:firstLine="640"/>
      </w:pPr>
      <w:r>
        <w:rPr>
          <w:rFonts w:hint="eastAsia"/>
        </w:rPr>
        <w:t>六、加快产业全球化发展</w:t>
      </w:r>
    </w:p>
    <w:p>
      <w:pPr>
        <w:pStyle w:val="20"/>
        <w:ind w:firstLine="0" w:firstLineChars="0"/>
        <w:rPr>
          <w:rFonts w:ascii="楷体" w:hAnsi="楷体" w:eastAsia="楷体"/>
        </w:rPr>
      </w:pPr>
      <w:r>
        <w:rPr>
          <w:rStyle w:val="24"/>
        </w:rPr>
        <w:tab/>
      </w:r>
      <w:r>
        <w:rPr>
          <w:rStyle w:val="24"/>
        </w:rPr>
        <w:t xml:space="preserve"> </w:t>
      </w:r>
      <w:r>
        <w:rPr>
          <w:rStyle w:val="24"/>
          <w:rFonts w:hint="eastAsia"/>
        </w:rPr>
        <w:t>（十六）支持企业拓展国内外市场</w:t>
      </w:r>
      <w:r>
        <w:rPr>
          <w:rFonts w:hint="eastAsia"/>
        </w:rPr>
        <w:t>。在喀什、哈尔滨、汕尾等对口协作区域重点推介深圳储能品牌。鼓励与深圳战略合作的大型能源央企采购深圳储能产品。强化我市境外经贸代表处支持服务职能，帮助企业在我市“走出去”重点区域拓展销售市场。加快本地企业储能项目海外承包建设进程，对首次开展对外承包工程业务给予最高不超过</w:t>
      </w:r>
      <w:r>
        <w:t>200</w:t>
      </w:r>
      <w:r>
        <w:rPr>
          <w:rFonts w:hint="eastAsia"/>
        </w:rPr>
        <w:t>万元的支持，实施储能建设运营企业对外承包工程绩效奖励，对符合条件的企业给予最高不超过</w:t>
      </w:r>
      <w:r>
        <w:t>200</w:t>
      </w:r>
      <w:r>
        <w:rPr>
          <w:rFonts w:hint="eastAsia"/>
        </w:rPr>
        <w:t>万元的奖励。</w:t>
      </w:r>
      <w:r>
        <w:rPr>
          <w:rStyle w:val="23"/>
          <w:rFonts w:hint="eastAsia"/>
        </w:rPr>
        <w:t>（</w:t>
      </w:r>
      <w:r>
        <w:rPr>
          <w:rFonts w:hint="eastAsia" w:ascii="楷体" w:hAnsi="楷体" w:eastAsia="楷体"/>
        </w:rPr>
        <w:t>市商务局、发展改革委、乡村振兴局负责）</w:t>
      </w:r>
    </w:p>
    <w:p>
      <w:pPr>
        <w:pStyle w:val="20"/>
        <w:ind w:firstLine="643"/>
      </w:pPr>
      <w:r>
        <w:rPr>
          <w:rStyle w:val="24"/>
          <w:rFonts w:hint="eastAsia"/>
        </w:rPr>
        <w:t>(十七)支持新型储能海外市场准入认证。</w:t>
      </w:r>
      <w:r>
        <w:rPr>
          <w:rFonts w:hint="eastAsia"/>
        </w:rPr>
        <w:t>吸引检验检测认证机构落地深圳。对获得海运运输证书，获得欧洲、东南亚、日韩、北美等国外市场准入认证的企业，按照不超过核定的项目费用实际发生额50%予以资助，单个企业年度资助金额不超过500万元。</w:t>
      </w:r>
      <w:r>
        <w:rPr>
          <w:rStyle w:val="23"/>
          <w:rFonts w:hint="eastAsia"/>
        </w:rPr>
        <w:t>（</w:t>
      </w:r>
      <w:r>
        <w:rPr>
          <w:rFonts w:hint="default" w:ascii="楷体" w:hAnsi="楷体" w:eastAsia="楷体"/>
        </w:rPr>
        <w:t>市工业和信息化</w:t>
      </w:r>
      <w:r>
        <w:rPr>
          <w:rFonts w:hint="eastAsia" w:ascii="楷体" w:hAnsi="楷体" w:eastAsia="楷体"/>
        </w:rPr>
        <w:t>局、发展改革委、市场监管局负责）</w:t>
      </w:r>
    </w:p>
    <w:p>
      <w:pPr>
        <w:pStyle w:val="20"/>
        <w:ind w:firstLine="643"/>
        <w:rPr>
          <w:rFonts w:ascii="楷体" w:hAnsi="楷体" w:eastAsia="楷体"/>
        </w:rPr>
      </w:pPr>
      <w:r>
        <w:rPr>
          <w:rFonts w:hint="eastAsia" w:ascii="楷体" w:hAnsi="楷体" w:eastAsia="楷体"/>
          <w:b/>
          <w:bCs/>
        </w:rPr>
        <w:t>（十八）提升新型储能出口运输能力。</w:t>
      </w:r>
      <w:r>
        <w:rPr>
          <w:rFonts w:hint="eastAsia"/>
        </w:rPr>
        <w:t>优化非标储能产品报关流程，创新危包检测手段，提升货物通关速度。加快小漠国际物流港8、9类危险化学品承运资质申报，优化盐田港、蛇口港及小漠港配套安全应急基础设施建设，加快开辟储能产品运输路线，提升电化学储能海运货运水平。</w:t>
      </w:r>
      <w:r>
        <w:rPr>
          <w:rFonts w:hint="eastAsia" w:ascii="楷体" w:hAnsi="楷体" w:eastAsia="楷体"/>
        </w:rPr>
        <w:t>（市交通运输局、盐田区</w:t>
      </w:r>
      <w:r>
        <w:rPr>
          <w:rFonts w:hint="default" w:ascii="楷体" w:hAnsi="楷体" w:eastAsia="楷体"/>
        </w:rPr>
        <w:t>人民政府</w:t>
      </w:r>
      <w:r>
        <w:rPr>
          <w:rFonts w:hint="eastAsia" w:ascii="楷体" w:hAnsi="楷体" w:eastAsia="楷体"/>
        </w:rPr>
        <w:t>、南山区</w:t>
      </w:r>
      <w:r>
        <w:rPr>
          <w:rFonts w:hint="default" w:ascii="楷体" w:hAnsi="楷体" w:eastAsia="楷体"/>
        </w:rPr>
        <w:t>人民政府</w:t>
      </w:r>
      <w:r>
        <w:rPr>
          <w:rFonts w:hint="eastAsia" w:ascii="楷体" w:hAnsi="楷体" w:eastAsia="楷体"/>
        </w:rPr>
        <w:t>、深汕特别合作区</w:t>
      </w:r>
      <w:r>
        <w:rPr>
          <w:rFonts w:hint="default" w:ascii="楷体" w:hAnsi="楷体" w:eastAsia="楷体"/>
        </w:rPr>
        <w:t>管委会</w:t>
      </w:r>
      <w:r>
        <w:rPr>
          <w:rFonts w:hint="eastAsia" w:ascii="楷体" w:hAnsi="楷体" w:eastAsia="楷体"/>
        </w:rPr>
        <w:t>、深圳海关负责）</w:t>
      </w:r>
    </w:p>
    <w:p>
      <w:pPr>
        <w:pStyle w:val="20"/>
        <w:ind w:firstLine="643"/>
      </w:pPr>
      <w:r>
        <w:rPr>
          <w:rFonts w:hint="eastAsia" w:ascii="楷体" w:hAnsi="楷体" w:eastAsia="楷体"/>
          <w:b/>
          <w:bCs/>
        </w:rPr>
        <w:t>（十九）强化海外金融支持。</w:t>
      </w:r>
      <w:r>
        <w:rPr>
          <w:rFonts w:hint="eastAsia"/>
        </w:rPr>
        <w:t>提高金融驿站、金融服务平台等对储能企业的支持力度，进一步拓宽企业融资渠道。探索设立电化学储能“白名单”制度，推动优质企业纳入贸易收支便利化试点名单。推动中资银行针对深圳新型储能企业定制出口专属服务方案。持续降低电化学储能制造企业或贸易企业出口贸易、海外设厂投保出口信用保险产生的费用，对年出口额800万美元以下企业实施统保。</w:t>
      </w:r>
      <w:r>
        <w:rPr>
          <w:rFonts w:hint="eastAsia" w:ascii="楷体" w:hAnsi="楷体" w:eastAsia="楷体"/>
        </w:rPr>
        <w:t>（市商务局、财政局、地方金融监管局、人民银行深圳分行、市银保监局、中国信保深圳分公司分别负责）</w:t>
      </w:r>
    </w:p>
    <w:p>
      <w:pPr>
        <w:pStyle w:val="20"/>
        <w:ind w:firstLine="643"/>
        <w:rPr>
          <w:rFonts w:ascii="楷体" w:hAnsi="楷体" w:eastAsia="楷体"/>
        </w:rPr>
      </w:pPr>
      <w:r>
        <w:rPr>
          <w:rFonts w:hint="eastAsia" w:ascii="楷体" w:hAnsi="楷体" w:eastAsia="楷体"/>
          <w:b/>
          <w:bCs/>
        </w:rPr>
        <w:t>（二十）支持企业参加国内外经贸活动。</w:t>
      </w:r>
      <w:r>
        <w:rPr>
          <w:rFonts w:hint="eastAsia"/>
        </w:rPr>
        <w:t>对组展单位承担的本市储能企业组团参加市外国内展会的实际展位费、搭建装修费，以及会务费、承办费、中心展位装修和配套活动费用等予以资助。支持符合条件的企业参加电化学储能境外大型展会，对企业场地和基本搭建(基本展台、桌椅、照明、开口) 产生的展位费予以补贴，其中传统市场国别(地区)按照50%给予支持，新兴市场国别(地区)按照70%给予支持。</w:t>
      </w:r>
      <w:r>
        <w:rPr>
          <w:rFonts w:hint="eastAsia" w:ascii="楷体" w:hAnsi="楷体" w:eastAsia="楷体"/>
        </w:rPr>
        <w:t>（市商务局、发展改革委负责）</w:t>
      </w:r>
    </w:p>
    <w:p>
      <w:pPr>
        <w:pStyle w:val="19"/>
        <w:ind w:firstLine="640"/>
      </w:pPr>
      <w:r>
        <w:rPr>
          <w:rFonts w:hint="eastAsia"/>
        </w:rPr>
        <w:t>七、保障措施</w:t>
      </w:r>
    </w:p>
    <w:p>
      <w:pPr>
        <w:pStyle w:val="22"/>
        <w:ind w:firstLine="643"/>
        <w:rPr>
          <w:rFonts w:ascii="楷体" w:hAnsi="楷体" w:eastAsia="楷体"/>
          <w:b w:val="0"/>
          <w:bCs/>
          <w:szCs w:val="20"/>
        </w:rPr>
      </w:pPr>
      <w:r>
        <w:rPr>
          <w:rFonts w:hint="eastAsia"/>
        </w:rPr>
        <w:t>（一）强化组织领导</w:t>
      </w:r>
      <w:r>
        <w:rPr>
          <w:rFonts w:hint="eastAsia" w:ascii="仿宋_GB2312" w:hAnsi="仿宋_GB2312" w:eastAsia="仿宋_GB2312"/>
          <w:b w:val="0"/>
          <w:szCs w:val="20"/>
        </w:rPr>
        <w:t>。由市发展改革委牵头，</w:t>
      </w:r>
      <w:r>
        <w:rPr>
          <w:rStyle w:val="23"/>
          <w:rFonts w:hint="eastAsia"/>
          <w:b w:val="0"/>
          <w:bCs/>
        </w:rPr>
        <w:t>统筹协调推进电化学储能产业发展支持工作。各部门、各区政府（新区管委会）根据职责分工，制定完善配套政策措施和管理制度，及时解决相关问题，确保各项任务目标顺利完成。</w:t>
      </w:r>
      <w:r>
        <w:rPr>
          <w:rFonts w:hint="eastAsia" w:ascii="楷体" w:hAnsi="楷体" w:eastAsia="楷体"/>
          <w:b w:val="0"/>
          <w:bCs/>
          <w:szCs w:val="20"/>
        </w:rPr>
        <w:t>（市发展改革委牵头、各单位依职责分工负责）</w:t>
      </w:r>
    </w:p>
    <w:p>
      <w:pPr>
        <w:pStyle w:val="22"/>
        <w:ind w:firstLine="643"/>
        <w:rPr>
          <w:rFonts w:ascii="楷体" w:hAnsi="楷体" w:eastAsia="楷体"/>
        </w:rPr>
      </w:pPr>
      <w:r>
        <w:rPr>
          <w:rStyle w:val="24"/>
          <w:rFonts w:hint="eastAsia"/>
          <w:b/>
          <w:bCs/>
        </w:rPr>
        <w:t>（二）加强人才引育。</w:t>
      </w:r>
      <w:r>
        <w:rPr>
          <w:rStyle w:val="23"/>
          <w:rFonts w:hint="eastAsia"/>
          <w:b w:val="0"/>
          <w:bCs/>
        </w:rPr>
        <w:t>以高等院校、基础研究机构和创新型企业为依托，加大对国内外储能领域高端人才和团队引进力度，培育结构、电气等产业重点方向高级技工人才。定期遴选一批表现突出的带头人进行重点培育，对符合现行人才引进和培育政策的积极给予支持。</w:t>
      </w:r>
      <w:r>
        <w:rPr>
          <w:rFonts w:hint="eastAsia" w:ascii="楷体" w:hAnsi="楷体" w:eastAsia="楷体"/>
          <w:b w:val="0"/>
          <w:bCs/>
        </w:rPr>
        <w:t>（市人才局、人力资源保障局、教育局、科技创新委、发展改革委负责）</w:t>
      </w:r>
    </w:p>
    <w:p>
      <w:pPr>
        <w:pStyle w:val="22"/>
        <w:ind w:firstLine="643"/>
        <w:rPr>
          <w:rFonts w:ascii="楷体" w:hAnsi="楷体" w:eastAsia="楷体"/>
          <w:b w:val="0"/>
          <w:bCs/>
          <w:szCs w:val="20"/>
        </w:rPr>
      </w:pPr>
      <w:r>
        <w:rPr>
          <w:rFonts w:hint="eastAsia"/>
        </w:rPr>
        <w:t>（三）加大资金支持。</w:t>
      </w:r>
      <w:r>
        <w:rPr>
          <w:rStyle w:val="23"/>
          <w:rFonts w:hint="eastAsia"/>
          <w:b w:val="0"/>
          <w:bCs/>
        </w:rPr>
        <w:t>充分发挥市级财政专项资金、新能源产业集群引导基金、绿色金融等工具作用，通过直接资助、股权投资、贷款贴息等多元化扶持方式支持电化学储能产业发展。各资金主管部门按照本措施要求，在本部门管理的现有专项资金预算规模内，积极做好电化学储能产业链资助工作。</w:t>
      </w:r>
      <w:r>
        <w:rPr>
          <w:rFonts w:hint="eastAsia" w:ascii="楷体" w:hAnsi="楷体" w:eastAsia="楷体"/>
          <w:b w:val="0"/>
          <w:bCs/>
          <w:szCs w:val="20"/>
        </w:rPr>
        <w:t>（市发展改革委、工业和信息化局、科技创新委、市场监管局、交通运输局、财政局、各区（新区、管委会）负责）</w:t>
      </w:r>
    </w:p>
    <w:p>
      <w:pPr>
        <w:pStyle w:val="22"/>
        <w:ind w:firstLine="643"/>
        <w:rPr>
          <w:b w:val="0"/>
          <w:bCs/>
        </w:rPr>
      </w:pPr>
      <w:r>
        <w:rPr>
          <w:rStyle w:val="24"/>
          <w:b/>
          <w:bCs/>
        </w:rPr>
        <w:t>（</w:t>
      </w:r>
      <w:r>
        <w:rPr>
          <w:rStyle w:val="24"/>
          <w:rFonts w:hint="eastAsia"/>
          <w:b/>
          <w:bCs/>
        </w:rPr>
        <w:t>四</w:t>
      </w:r>
      <w:r>
        <w:rPr>
          <w:rStyle w:val="24"/>
          <w:b/>
          <w:bCs/>
        </w:rPr>
        <w:t>）</w:t>
      </w:r>
      <w:r>
        <w:rPr>
          <w:rStyle w:val="24"/>
          <w:rFonts w:hint="eastAsia"/>
          <w:b/>
          <w:bCs/>
        </w:rPr>
        <w:t>强化安全管理。</w:t>
      </w:r>
      <w:r>
        <w:rPr>
          <w:rStyle w:val="23"/>
          <w:rFonts w:hint="eastAsia"/>
          <w:b w:val="0"/>
          <w:bCs/>
        </w:rPr>
        <w:t>引导企业供给高安全、长寿命、可持续电化学储能电池产品。明确产业上下游各环节安全责任主体，强化安全责任落实，加强市内储能电站安全管理，提升各有关单位的风险预警与安全防范意识。探索试行电化学储能生产者责任延伸制，积极引导主要企业在国内外联合建立电池回收网络渠道。</w:t>
      </w:r>
      <w:r>
        <w:rPr>
          <w:rFonts w:hint="eastAsia"/>
          <w:b w:val="0"/>
          <w:bCs/>
        </w:rPr>
        <w:t>（</w:t>
      </w:r>
      <w:r>
        <w:rPr>
          <w:rFonts w:hint="eastAsia" w:ascii="楷体" w:hAnsi="楷体" w:eastAsia="楷体"/>
          <w:b w:val="0"/>
          <w:bCs/>
        </w:rPr>
        <w:t>市发展改革委牵头、各单位依职责分工负责</w:t>
      </w:r>
      <w:r>
        <w:rPr>
          <w:rFonts w:hint="eastAsia"/>
          <w:b w:val="0"/>
          <w:bCs/>
        </w:rPr>
        <w:t>）</w:t>
      </w:r>
    </w:p>
    <w:p>
      <w:pPr>
        <w:pStyle w:val="19"/>
        <w:ind w:firstLine="640"/>
      </w:pPr>
      <w:r>
        <w:rPr>
          <w:rFonts w:hint="eastAsia"/>
        </w:rPr>
        <w:t>八、附则</w:t>
      </w:r>
    </w:p>
    <w:p>
      <w:pPr>
        <w:pStyle w:val="20"/>
        <w:ind w:firstLine="640"/>
      </w:pPr>
      <w:r>
        <w:t>本措施由市发展和改革委员会负责解释。执行期间如遇国家、省</w:t>
      </w:r>
      <w:r>
        <w:rPr>
          <w:rFonts w:hint="eastAsia"/>
        </w:rPr>
        <w:t>、</w:t>
      </w:r>
      <w:r>
        <w:t xml:space="preserve">市有关政策及规定调整的，本措施进行相应调整。各责任单位应当及时制定出台实施细则或操作规程。鼓励各区根据产业规划布局特点独立制定补充配套措施。本措施与本市其他同类优惠措施，由企业自主选择申报，不重复资助。 </w:t>
      </w:r>
    </w:p>
    <w:p>
      <w:pPr>
        <w:pStyle w:val="20"/>
        <w:ind w:firstLine="640"/>
      </w:pPr>
      <w:r>
        <w:t>本措施自 年 月 日起施行，有效期 3 年</w:t>
      </w:r>
      <w:r>
        <w:rPr>
          <w:rFonts w:hint="eastAsia"/>
        </w:rPr>
        <w:t>。</w:t>
      </w:r>
    </w:p>
    <w:sectPr>
      <w:footerReference r:id="rId3" w:type="default"/>
      <w:footerReference r:id="rId4" w:type="even"/>
      <w:pgSz w:w="11906" w:h="16838"/>
      <w:pgMar w:top="2098" w:right="1474" w:bottom="1985" w:left="1588" w:header="851" w:footer="136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鼎小标宋简">
    <w:altName w:val="微软雅黑"/>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6" w:rightChars="105"/>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2" w:firstLineChars="101"/>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E60B7"/>
    <w:multiLevelType w:val="multilevel"/>
    <w:tmpl w:val="06FE60B7"/>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C64505B"/>
    <w:multiLevelType w:val="multilevel"/>
    <w:tmpl w:val="7C64505B"/>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19"/>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ZjllNWI0MTE2ZWQyNjk3MjdkMDA3MjZlMzhkMzEifQ=="/>
  </w:docVars>
  <w:rsids>
    <w:rsidRoot w:val="00647749"/>
    <w:rsid w:val="00000087"/>
    <w:rsid w:val="000043C5"/>
    <w:rsid w:val="000125D4"/>
    <w:rsid w:val="00020185"/>
    <w:rsid w:val="00021277"/>
    <w:rsid w:val="00021E12"/>
    <w:rsid w:val="0002409F"/>
    <w:rsid w:val="00026F73"/>
    <w:rsid w:val="00030049"/>
    <w:rsid w:val="00031E6F"/>
    <w:rsid w:val="00036D5F"/>
    <w:rsid w:val="00041C47"/>
    <w:rsid w:val="00041F68"/>
    <w:rsid w:val="00046722"/>
    <w:rsid w:val="00051711"/>
    <w:rsid w:val="0005491A"/>
    <w:rsid w:val="0005703E"/>
    <w:rsid w:val="0005787D"/>
    <w:rsid w:val="00057D57"/>
    <w:rsid w:val="00063834"/>
    <w:rsid w:val="00067806"/>
    <w:rsid w:val="00074F73"/>
    <w:rsid w:val="00084B98"/>
    <w:rsid w:val="000B2295"/>
    <w:rsid w:val="000B48FD"/>
    <w:rsid w:val="000D2A0F"/>
    <w:rsid w:val="000D46BD"/>
    <w:rsid w:val="000E3B6C"/>
    <w:rsid w:val="000E7170"/>
    <w:rsid w:val="000F20DE"/>
    <w:rsid w:val="000F542C"/>
    <w:rsid w:val="00102FEB"/>
    <w:rsid w:val="001040F1"/>
    <w:rsid w:val="00107550"/>
    <w:rsid w:val="001106F4"/>
    <w:rsid w:val="00116B70"/>
    <w:rsid w:val="001177F4"/>
    <w:rsid w:val="00130CBC"/>
    <w:rsid w:val="0013467C"/>
    <w:rsid w:val="001374E9"/>
    <w:rsid w:val="00153292"/>
    <w:rsid w:val="001536EB"/>
    <w:rsid w:val="0015599C"/>
    <w:rsid w:val="00167E76"/>
    <w:rsid w:val="00170C27"/>
    <w:rsid w:val="00173F6E"/>
    <w:rsid w:val="0017531D"/>
    <w:rsid w:val="0018586B"/>
    <w:rsid w:val="00187E25"/>
    <w:rsid w:val="00197529"/>
    <w:rsid w:val="001A10D6"/>
    <w:rsid w:val="001A6DAB"/>
    <w:rsid w:val="001A7415"/>
    <w:rsid w:val="001A77A6"/>
    <w:rsid w:val="001C01FB"/>
    <w:rsid w:val="001C330E"/>
    <w:rsid w:val="001C5ED5"/>
    <w:rsid w:val="001D096E"/>
    <w:rsid w:val="001D7D88"/>
    <w:rsid w:val="001E5E22"/>
    <w:rsid w:val="001E6657"/>
    <w:rsid w:val="001F54EA"/>
    <w:rsid w:val="002018B6"/>
    <w:rsid w:val="00205562"/>
    <w:rsid w:val="00221132"/>
    <w:rsid w:val="00223119"/>
    <w:rsid w:val="002243B1"/>
    <w:rsid w:val="002329C7"/>
    <w:rsid w:val="00236A19"/>
    <w:rsid w:val="00245807"/>
    <w:rsid w:val="0025452D"/>
    <w:rsid w:val="002570C1"/>
    <w:rsid w:val="00257FEF"/>
    <w:rsid w:val="002634FE"/>
    <w:rsid w:val="00263680"/>
    <w:rsid w:val="00270183"/>
    <w:rsid w:val="002744CD"/>
    <w:rsid w:val="00280857"/>
    <w:rsid w:val="00281299"/>
    <w:rsid w:val="00282A68"/>
    <w:rsid w:val="00287D6F"/>
    <w:rsid w:val="002932AA"/>
    <w:rsid w:val="002A65DB"/>
    <w:rsid w:val="002B426D"/>
    <w:rsid w:val="002C52D7"/>
    <w:rsid w:val="002C76B9"/>
    <w:rsid w:val="002C774E"/>
    <w:rsid w:val="002C7A17"/>
    <w:rsid w:val="002D41B4"/>
    <w:rsid w:val="002D4D7A"/>
    <w:rsid w:val="002D5F41"/>
    <w:rsid w:val="002E09EE"/>
    <w:rsid w:val="002E1827"/>
    <w:rsid w:val="002E23E7"/>
    <w:rsid w:val="002E356B"/>
    <w:rsid w:val="002E51FE"/>
    <w:rsid w:val="002F1412"/>
    <w:rsid w:val="002F569F"/>
    <w:rsid w:val="00305133"/>
    <w:rsid w:val="00307A3A"/>
    <w:rsid w:val="00310774"/>
    <w:rsid w:val="00311554"/>
    <w:rsid w:val="00323926"/>
    <w:rsid w:val="00326FF1"/>
    <w:rsid w:val="00331B4F"/>
    <w:rsid w:val="00340B1A"/>
    <w:rsid w:val="003414C8"/>
    <w:rsid w:val="0034462F"/>
    <w:rsid w:val="003454CD"/>
    <w:rsid w:val="00345A9E"/>
    <w:rsid w:val="0035257E"/>
    <w:rsid w:val="003526C3"/>
    <w:rsid w:val="0036023F"/>
    <w:rsid w:val="00362D74"/>
    <w:rsid w:val="00372933"/>
    <w:rsid w:val="00373F27"/>
    <w:rsid w:val="0037400C"/>
    <w:rsid w:val="003766E8"/>
    <w:rsid w:val="00384770"/>
    <w:rsid w:val="00384C4F"/>
    <w:rsid w:val="003870D2"/>
    <w:rsid w:val="00390226"/>
    <w:rsid w:val="00396869"/>
    <w:rsid w:val="003A591D"/>
    <w:rsid w:val="003C04B5"/>
    <w:rsid w:val="003D458C"/>
    <w:rsid w:val="003E0107"/>
    <w:rsid w:val="003F369D"/>
    <w:rsid w:val="003F3A3E"/>
    <w:rsid w:val="003F54C9"/>
    <w:rsid w:val="003F7FE1"/>
    <w:rsid w:val="00401E9F"/>
    <w:rsid w:val="0040294C"/>
    <w:rsid w:val="004054FB"/>
    <w:rsid w:val="0040596D"/>
    <w:rsid w:val="00414A70"/>
    <w:rsid w:val="00421BEF"/>
    <w:rsid w:val="00424634"/>
    <w:rsid w:val="0042703C"/>
    <w:rsid w:val="004307FB"/>
    <w:rsid w:val="004460E6"/>
    <w:rsid w:val="0045581F"/>
    <w:rsid w:val="004832A1"/>
    <w:rsid w:val="004844A7"/>
    <w:rsid w:val="00484CD1"/>
    <w:rsid w:val="004A1120"/>
    <w:rsid w:val="004A477A"/>
    <w:rsid w:val="004A63FF"/>
    <w:rsid w:val="004B6B3A"/>
    <w:rsid w:val="004B7532"/>
    <w:rsid w:val="004C1F50"/>
    <w:rsid w:val="004C40FD"/>
    <w:rsid w:val="004D2148"/>
    <w:rsid w:val="004D4787"/>
    <w:rsid w:val="004E2914"/>
    <w:rsid w:val="004E6B1C"/>
    <w:rsid w:val="004F1B16"/>
    <w:rsid w:val="004F22DC"/>
    <w:rsid w:val="004F5ED0"/>
    <w:rsid w:val="0050426B"/>
    <w:rsid w:val="00506450"/>
    <w:rsid w:val="005220C4"/>
    <w:rsid w:val="0052449D"/>
    <w:rsid w:val="00530DAA"/>
    <w:rsid w:val="00532E7E"/>
    <w:rsid w:val="00536542"/>
    <w:rsid w:val="005366A4"/>
    <w:rsid w:val="0054154D"/>
    <w:rsid w:val="00543F92"/>
    <w:rsid w:val="00551FCA"/>
    <w:rsid w:val="00555456"/>
    <w:rsid w:val="005575B1"/>
    <w:rsid w:val="00561855"/>
    <w:rsid w:val="005705F9"/>
    <w:rsid w:val="00571909"/>
    <w:rsid w:val="00573175"/>
    <w:rsid w:val="00575017"/>
    <w:rsid w:val="005758BB"/>
    <w:rsid w:val="0057697F"/>
    <w:rsid w:val="005813A7"/>
    <w:rsid w:val="00582774"/>
    <w:rsid w:val="00582C9A"/>
    <w:rsid w:val="005842BC"/>
    <w:rsid w:val="00591053"/>
    <w:rsid w:val="00596B74"/>
    <w:rsid w:val="005A48DD"/>
    <w:rsid w:val="005D4F77"/>
    <w:rsid w:val="005E24B1"/>
    <w:rsid w:val="005E4C3F"/>
    <w:rsid w:val="005F3B68"/>
    <w:rsid w:val="005F6320"/>
    <w:rsid w:val="00604EC6"/>
    <w:rsid w:val="0060563F"/>
    <w:rsid w:val="00611EEC"/>
    <w:rsid w:val="0061443B"/>
    <w:rsid w:val="00622333"/>
    <w:rsid w:val="00623A14"/>
    <w:rsid w:val="006241A5"/>
    <w:rsid w:val="0063793D"/>
    <w:rsid w:val="006379E3"/>
    <w:rsid w:val="00640CBE"/>
    <w:rsid w:val="0064318F"/>
    <w:rsid w:val="00645EAC"/>
    <w:rsid w:val="00647749"/>
    <w:rsid w:val="006653A5"/>
    <w:rsid w:val="006672A6"/>
    <w:rsid w:val="00667E46"/>
    <w:rsid w:val="006743A5"/>
    <w:rsid w:val="00674DEF"/>
    <w:rsid w:val="00680CB2"/>
    <w:rsid w:val="00687083"/>
    <w:rsid w:val="00690AC1"/>
    <w:rsid w:val="0069182F"/>
    <w:rsid w:val="00691E25"/>
    <w:rsid w:val="00691F10"/>
    <w:rsid w:val="006963B1"/>
    <w:rsid w:val="006B6BDC"/>
    <w:rsid w:val="006C0E55"/>
    <w:rsid w:val="006F1855"/>
    <w:rsid w:val="006F7535"/>
    <w:rsid w:val="006F7E67"/>
    <w:rsid w:val="00702DEA"/>
    <w:rsid w:val="00703318"/>
    <w:rsid w:val="007063A7"/>
    <w:rsid w:val="00706888"/>
    <w:rsid w:val="00706EEF"/>
    <w:rsid w:val="00720B14"/>
    <w:rsid w:val="007212F5"/>
    <w:rsid w:val="007520E7"/>
    <w:rsid w:val="00756B60"/>
    <w:rsid w:val="007765BA"/>
    <w:rsid w:val="00781670"/>
    <w:rsid w:val="00781BD8"/>
    <w:rsid w:val="00783D23"/>
    <w:rsid w:val="007874C1"/>
    <w:rsid w:val="00787A25"/>
    <w:rsid w:val="007938EB"/>
    <w:rsid w:val="00794CCA"/>
    <w:rsid w:val="007A5BE0"/>
    <w:rsid w:val="007A7DE7"/>
    <w:rsid w:val="007B1916"/>
    <w:rsid w:val="007B4506"/>
    <w:rsid w:val="007E0BB5"/>
    <w:rsid w:val="007E1633"/>
    <w:rsid w:val="007E20AB"/>
    <w:rsid w:val="007E2562"/>
    <w:rsid w:val="007E6F88"/>
    <w:rsid w:val="007F6944"/>
    <w:rsid w:val="007F6D41"/>
    <w:rsid w:val="00805167"/>
    <w:rsid w:val="00805C1F"/>
    <w:rsid w:val="008069D2"/>
    <w:rsid w:val="0081701A"/>
    <w:rsid w:val="00827DAE"/>
    <w:rsid w:val="008326AA"/>
    <w:rsid w:val="008376EE"/>
    <w:rsid w:val="00841B36"/>
    <w:rsid w:val="00843BD2"/>
    <w:rsid w:val="008548E7"/>
    <w:rsid w:val="008557AE"/>
    <w:rsid w:val="008634D2"/>
    <w:rsid w:val="00864BE7"/>
    <w:rsid w:val="00871A77"/>
    <w:rsid w:val="00875C2B"/>
    <w:rsid w:val="008812AD"/>
    <w:rsid w:val="00890CEA"/>
    <w:rsid w:val="008911DF"/>
    <w:rsid w:val="00891D4B"/>
    <w:rsid w:val="008A1D6A"/>
    <w:rsid w:val="008A35DF"/>
    <w:rsid w:val="008A3E1B"/>
    <w:rsid w:val="008A69A2"/>
    <w:rsid w:val="008B232C"/>
    <w:rsid w:val="008C1710"/>
    <w:rsid w:val="008C2852"/>
    <w:rsid w:val="008C2E0B"/>
    <w:rsid w:val="008C5DE4"/>
    <w:rsid w:val="008D2557"/>
    <w:rsid w:val="008D26A8"/>
    <w:rsid w:val="008F181F"/>
    <w:rsid w:val="008F2542"/>
    <w:rsid w:val="008F58F1"/>
    <w:rsid w:val="00913AE6"/>
    <w:rsid w:val="009171F1"/>
    <w:rsid w:val="009223A7"/>
    <w:rsid w:val="0092688D"/>
    <w:rsid w:val="00926EC8"/>
    <w:rsid w:val="00934126"/>
    <w:rsid w:val="00936EFD"/>
    <w:rsid w:val="00937253"/>
    <w:rsid w:val="009403D2"/>
    <w:rsid w:val="00943F06"/>
    <w:rsid w:val="00944556"/>
    <w:rsid w:val="0094614D"/>
    <w:rsid w:val="009509B9"/>
    <w:rsid w:val="009513B7"/>
    <w:rsid w:val="0097514E"/>
    <w:rsid w:val="009757BB"/>
    <w:rsid w:val="0097589E"/>
    <w:rsid w:val="009815D0"/>
    <w:rsid w:val="00987E56"/>
    <w:rsid w:val="0099450C"/>
    <w:rsid w:val="00994647"/>
    <w:rsid w:val="009969A0"/>
    <w:rsid w:val="009A2928"/>
    <w:rsid w:val="009A55FC"/>
    <w:rsid w:val="009B742F"/>
    <w:rsid w:val="009D49BB"/>
    <w:rsid w:val="009F03DF"/>
    <w:rsid w:val="009F714B"/>
    <w:rsid w:val="009F7D57"/>
    <w:rsid w:val="00A00EA7"/>
    <w:rsid w:val="00A02C30"/>
    <w:rsid w:val="00A04FE2"/>
    <w:rsid w:val="00A31153"/>
    <w:rsid w:val="00A3278A"/>
    <w:rsid w:val="00A4333C"/>
    <w:rsid w:val="00A45C47"/>
    <w:rsid w:val="00A478BB"/>
    <w:rsid w:val="00A60DFF"/>
    <w:rsid w:val="00A64F94"/>
    <w:rsid w:val="00A662E3"/>
    <w:rsid w:val="00A703DA"/>
    <w:rsid w:val="00A73574"/>
    <w:rsid w:val="00A772F1"/>
    <w:rsid w:val="00A90D2E"/>
    <w:rsid w:val="00A96783"/>
    <w:rsid w:val="00AA442F"/>
    <w:rsid w:val="00AB3702"/>
    <w:rsid w:val="00AB7159"/>
    <w:rsid w:val="00AC2077"/>
    <w:rsid w:val="00AD4759"/>
    <w:rsid w:val="00AE371D"/>
    <w:rsid w:val="00AE53BF"/>
    <w:rsid w:val="00AE6A9D"/>
    <w:rsid w:val="00AE70AD"/>
    <w:rsid w:val="00AF239E"/>
    <w:rsid w:val="00AF2D34"/>
    <w:rsid w:val="00B0356B"/>
    <w:rsid w:val="00B05BD0"/>
    <w:rsid w:val="00B12C04"/>
    <w:rsid w:val="00B15921"/>
    <w:rsid w:val="00B25C7B"/>
    <w:rsid w:val="00B30F55"/>
    <w:rsid w:val="00B31B42"/>
    <w:rsid w:val="00B41049"/>
    <w:rsid w:val="00B44342"/>
    <w:rsid w:val="00B51CD8"/>
    <w:rsid w:val="00B71A5F"/>
    <w:rsid w:val="00B7568B"/>
    <w:rsid w:val="00B7754A"/>
    <w:rsid w:val="00B84AD8"/>
    <w:rsid w:val="00B84D98"/>
    <w:rsid w:val="00B86015"/>
    <w:rsid w:val="00B95E3B"/>
    <w:rsid w:val="00B96A11"/>
    <w:rsid w:val="00BA0883"/>
    <w:rsid w:val="00BA6762"/>
    <w:rsid w:val="00BA6DFB"/>
    <w:rsid w:val="00BB525E"/>
    <w:rsid w:val="00BC0E69"/>
    <w:rsid w:val="00BC79E3"/>
    <w:rsid w:val="00BD1F3B"/>
    <w:rsid w:val="00BD279D"/>
    <w:rsid w:val="00BD3290"/>
    <w:rsid w:val="00BD3DF1"/>
    <w:rsid w:val="00BD5304"/>
    <w:rsid w:val="00BD79E5"/>
    <w:rsid w:val="00BE6EC7"/>
    <w:rsid w:val="00BF4550"/>
    <w:rsid w:val="00C05443"/>
    <w:rsid w:val="00C057B3"/>
    <w:rsid w:val="00C075B4"/>
    <w:rsid w:val="00C25197"/>
    <w:rsid w:val="00C309F7"/>
    <w:rsid w:val="00C31071"/>
    <w:rsid w:val="00C3190C"/>
    <w:rsid w:val="00C403F2"/>
    <w:rsid w:val="00C44352"/>
    <w:rsid w:val="00C47B91"/>
    <w:rsid w:val="00C554DA"/>
    <w:rsid w:val="00C57B14"/>
    <w:rsid w:val="00C60FE8"/>
    <w:rsid w:val="00C64C86"/>
    <w:rsid w:val="00C70E9A"/>
    <w:rsid w:val="00C724ED"/>
    <w:rsid w:val="00C80640"/>
    <w:rsid w:val="00CB0533"/>
    <w:rsid w:val="00CB6B30"/>
    <w:rsid w:val="00CC18B7"/>
    <w:rsid w:val="00CC3630"/>
    <w:rsid w:val="00CC423E"/>
    <w:rsid w:val="00CC4922"/>
    <w:rsid w:val="00CC530E"/>
    <w:rsid w:val="00CC6B25"/>
    <w:rsid w:val="00CE459B"/>
    <w:rsid w:val="00CE627F"/>
    <w:rsid w:val="00CF3A39"/>
    <w:rsid w:val="00CF3C06"/>
    <w:rsid w:val="00CF59D9"/>
    <w:rsid w:val="00CF66B9"/>
    <w:rsid w:val="00D004EB"/>
    <w:rsid w:val="00D03BFD"/>
    <w:rsid w:val="00D047E2"/>
    <w:rsid w:val="00D051F0"/>
    <w:rsid w:val="00D1313A"/>
    <w:rsid w:val="00D21AA4"/>
    <w:rsid w:val="00D24C21"/>
    <w:rsid w:val="00D25979"/>
    <w:rsid w:val="00D324AC"/>
    <w:rsid w:val="00D52282"/>
    <w:rsid w:val="00D54FEE"/>
    <w:rsid w:val="00D57685"/>
    <w:rsid w:val="00D629CB"/>
    <w:rsid w:val="00D6324C"/>
    <w:rsid w:val="00D64D83"/>
    <w:rsid w:val="00D65D96"/>
    <w:rsid w:val="00D67CD1"/>
    <w:rsid w:val="00D74A24"/>
    <w:rsid w:val="00D77734"/>
    <w:rsid w:val="00D8238D"/>
    <w:rsid w:val="00D950BF"/>
    <w:rsid w:val="00DA0D9F"/>
    <w:rsid w:val="00DA1734"/>
    <w:rsid w:val="00DA41C9"/>
    <w:rsid w:val="00DB4D9E"/>
    <w:rsid w:val="00DB6FF6"/>
    <w:rsid w:val="00DC5DFD"/>
    <w:rsid w:val="00DD7C0A"/>
    <w:rsid w:val="00DE629A"/>
    <w:rsid w:val="00DF6B6C"/>
    <w:rsid w:val="00E12695"/>
    <w:rsid w:val="00E157BC"/>
    <w:rsid w:val="00E20229"/>
    <w:rsid w:val="00E2511C"/>
    <w:rsid w:val="00E33B78"/>
    <w:rsid w:val="00E408D6"/>
    <w:rsid w:val="00E44117"/>
    <w:rsid w:val="00E46503"/>
    <w:rsid w:val="00E5079E"/>
    <w:rsid w:val="00E53DCC"/>
    <w:rsid w:val="00E63B8C"/>
    <w:rsid w:val="00E63E50"/>
    <w:rsid w:val="00E66FA1"/>
    <w:rsid w:val="00E711D7"/>
    <w:rsid w:val="00E724EA"/>
    <w:rsid w:val="00EA3AD8"/>
    <w:rsid w:val="00EA6351"/>
    <w:rsid w:val="00EA6DFE"/>
    <w:rsid w:val="00EB5DE2"/>
    <w:rsid w:val="00ED1FE4"/>
    <w:rsid w:val="00EE2BE2"/>
    <w:rsid w:val="00EE6B6C"/>
    <w:rsid w:val="00EF49E6"/>
    <w:rsid w:val="00EF541D"/>
    <w:rsid w:val="00EF6B71"/>
    <w:rsid w:val="00F11F5E"/>
    <w:rsid w:val="00F16B34"/>
    <w:rsid w:val="00F16ECF"/>
    <w:rsid w:val="00F232C7"/>
    <w:rsid w:val="00F261BA"/>
    <w:rsid w:val="00F27841"/>
    <w:rsid w:val="00F31538"/>
    <w:rsid w:val="00F36DD8"/>
    <w:rsid w:val="00F4290F"/>
    <w:rsid w:val="00F42E96"/>
    <w:rsid w:val="00F67504"/>
    <w:rsid w:val="00F73E01"/>
    <w:rsid w:val="00F769E9"/>
    <w:rsid w:val="00F76A38"/>
    <w:rsid w:val="00F83E5E"/>
    <w:rsid w:val="00F84932"/>
    <w:rsid w:val="00F8542F"/>
    <w:rsid w:val="00F93DA4"/>
    <w:rsid w:val="00F94413"/>
    <w:rsid w:val="00F95009"/>
    <w:rsid w:val="00FA4F1A"/>
    <w:rsid w:val="00FA5139"/>
    <w:rsid w:val="00FA7408"/>
    <w:rsid w:val="00FA75AE"/>
    <w:rsid w:val="00FC3C0C"/>
    <w:rsid w:val="00FF3DCC"/>
    <w:rsid w:val="00FF7750"/>
    <w:rsid w:val="0F5676AC"/>
    <w:rsid w:val="0F8D163C"/>
    <w:rsid w:val="16E2792F"/>
    <w:rsid w:val="179A2161"/>
    <w:rsid w:val="1AD027FE"/>
    <w:rsid w:val="24F534FD"/>
    <w:rsid w:val="293D60A0"/>
    <w:rsid w:val="2A7C74AF"/>
    <w:rsid w:val="31862702"/>
    <w:rsid w:val="3892379A"/>
    <w:rsid w:val="46C931DF"/>
    <w:rsid w:val="4F7F3DFB"/>
    <w:rsid w:val="50373E38"/>
    <w:rsid w:val="61577BBB"/>
    <w:rsid w:val="61E511FA"/>
    <w:rsid w:val="661D7DF0"/>
    <w:rsid w:val="6F722699"/>
    <w:rsid w:val="781C2F16"/>
    <w:rsid w:val="7FFC6657"/>
    <w:rsid w:val="CFF70D5F"/>
    <w:rsid w:val="D9BFFD11"/>
    <w:rsid w:val="DFED6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3"/>
    <w:qFormat/>
    <w:uiPriority w:val="0"/>
    <w:pPr>
      <w:keepNext/>
      <w:keepLines/>
      <w:adjustRightInd w:val="0"/>
      <w:jc w:val="distribute"/>
      <w:outlineLvl w:val="0"/>
    </w:pPr>
    <w:rPr>
      <w:rFonts w:eastAsia="文鼎小标宋简"/>
      <w:b/>
      <w:color w:val="FF0000"/>
      <w:kern w:val="44"/>
      <w:sz w:val="7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semiHidden/>
    <w:unhideWhenUsed/>
    <w:qFormat/>
    <w:uiPriority w:val="99"/>
    <w:pPr>
      <w:snapToGrid w:val="0"/>
      <w:jc w:val="left"/>
    </w:pPr>
    <w:rPr>
      <w:rFonts w:ascii="Calibri" w:hAnsi="Calibri"/>
      <w:sz w:val="18"/>
      <w:szCs w:val="18"/>
    </w:rPr>
  </w:style>
  <w:style w:type="paragraph" w:styleId="8">
    <w:name w:val="annotation subject"/>
    <w:basedOn w:val="3"/>
    <w:next w:val="3"/>
    <w:link w:val="2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styleId="12">
    <w:name w:val="footnote reference"/>
    <w:semiHidden/>
    <w:unhideWhenUsed/>
    <w:qFormat/>
    <w:uiPriority w:val="99"/>
    <w:rPr>
      <w:vertAlign w:val="superscript"/>
    </w:rPr>
  </w:style>
  <w:style w:type="character" w:customStyle="1" w:styleId="13">
    <w:name w:val="标题 1 字符"/>
    <w:link w:val="2"/>
    <w:qFormat/>
    <w:uiPriority w:val="0"/>
    <w:rPr>
      <w:rFonts w:ascii="Times New Roman" w:hAnsi="Times New Roman" w:eastAsia="文鼎小标宋简" w:cs="Times New Roman"/>
      <w:b/>
      <w:color w:val="FF0000"/>
      <w:kern w:val="44"/>
      <w:sz w:val="72"/>
      <w:szCs w:val="20"/>
    </w:rPr>
  </w:style>
  <w:style w:type="paragraph" w:customStyle="1" w:styleId="14">
    <w:name w:val="秘密紧急"/>
    <w:basedOn w:val="1"/>
    <w:qFormat/>
    <w:uiPriority w:val="0"/>
    <w:pPr>
      <w:jc w:val="right"/>
    </w:pPr>
    <w:rPr>
      <w:rFonts w:ascii="黑体" w:eastAsia="黑体"/>
    </w:rPr>
  </w:style>
  <w:style w:type="character" w:customStyle="1" w:styleId="15">
    <w:name w:val="批注框文本 字符"/>
    <w:link w:val="4"/>
    <w:semiHidden/>
    <w:qFormat/>
    <w:uiPriority w:val="99"/>
    <w:rPr>
      <w:rFonts w:ascii="Times New Roman" w:hAnsi="Times New Roman" w:eastAsia="仿宋_GB2312" w:cs="Times New Roman"/>
      <w:sz w:val="18"/>
      <w:szCs w:val="18"/>
    </w:rPr>
  </w:style>
  <w:style w:type="character" w:customStyle="1" w:styleId="16">
    <w:name w:val="脚注文本 字符"/>
    <w:link w:val="7"/>
    <w:semiHidden/>
    <w:qFormat/>
    <w:uiPriority w:val="99"/>
    <w:rPr>
      <w:rFonts w:eastAsia="仿宋_GB2312"/>
      <w:sz w:val="18"/>
      <w:szCs w:val="18"/>
    </w:rPr>
  </w:style>
  <w:style w:type="character" w:customStyle="1" w:styleId="17">
    <w:name w:val="页眉 字符"/>
    <w:link w:val="6"/>
    <w:qFormat/>
    <w:uiPriority w:val="99"/>
    <w:rPr>
      <w:rFonts w:ascii="Times New Roman" w:hAnsi="Times New Roman" w:eastAsia="仿宋_GB2312" w:cs="Times New Roman"/>
      <w:sz w:val="18"/>
      <w:szCs w:val="18"/>
    </w:rPr>
  </w:style>
  <w:style w:type="character" w:customStyle="1" w:styleId="18">
    <w:name w:val="页脚 字符"/>
    <w:link w:val="5"/>
    <w:qFormat/>
    <w:uiPriority w:val="99"/>
    <w:rPr>
      <w:rFonts w:ascii="Times New Roman" w:hAnsi="Times New Roman" w:eastAsia="仿宋_GB2312" w:cs="Times New Roman"/>
      <w:sz w:val="18"/>
      <w:szCs w:val="18"/>
    </w:rPr>
  </w:style>
  <w:style w:type="paragraph" w:customStyle="1" w:styleId="19">
    <w:name w:val="一级标题"/>
    <w:basedOn w:val="1"/>
    <w:next w:val="20"/>
    <w:link w:val="21"/>
    <w:qFormat/>
    <w:uiPriority w:val="0"/>
    <w:pPr>
      <w:adjustRightInd w:val="0"/>
      <w:snapToGrid w:val="0"/>
      <w:spacing w:line="560" w:lineRule="exact"/>
      <w:ind w:firstLine="200" w:firstLineChars="200"/>
      <w:outlineLvl w:val="1"/>
    </w:pPr>
    <w:rPr>
      <w:rFonts w:ascii="黑体" w:hAnsi="黑体" w:eastAsia="黑体"/>
      <w:szCs w:val="32"/>
    </w:rPr>
  </w:style>
  <w:style w:type="paragraph" w:customStyle="1" w:styleId="20">
    <w:name w:val="【正文】"/>
    <w:basedOn w:val="1"/>
    <w:link w:val="23"/>
    <w:qFormat/>
    <w:uiPriority w:val="0"/>
    <w:pPr>
      <w:adjustRightInd w:val="0"/>
      <w:snapToGrid w:val="0"/>
      <w:spacing w:line="560" w:lineRule="exact"/>
      <w:ind w:firstLine="200" w:firstLineChars="200"/>
    </w:pPr>
    <w:rPr>
      <w:rFonts w:ascii="仿宋_GB2312" w:hAnsi="仿宋_GB2312"/>
    </w:rPr>
  </w:style>
  <w:style w:type="character" w:customStyle="1" w:styleId="21">
    <w:name w:val="一级标题 Char"/>
    <w:link w:val="19"/>
    <w:qFormat/>
    <w:uiPriority w:val="0"/>
    <w:rPr>
      <w:rFonts w:ascii="黑体" w:hAnsi="黑体" w:eastAsia="黑体"/>
      <w:kern w:val="2"/>
      <w:sz w:val="32"/>
      <w:szCs w:val="32"/>
    </w:rPr>
  </w:style>
  <w:style w:type="paragraph" w:customStyle="1" w:styleId="22">
    <w:name w:val="二级标题"/>
    <w:basedOn w:val="1"/>
    <w:next w:val="20"/>
    <w:link w:val="24"/>
    <w:qFormat/>
    <w:uiPriority w:val="0"/>
    <w:pPr>
      <w:adjustRightInd w:val="0"/>
      <w:snapToGrid w:val="0"/>
      <w:spacing w:line="560" w:lineRule="exact"/>
      <w:ind w:firstLine="200" w:firstLineChars="200"/>
      <w:outlineLvl w:val="2"/>
    </w:pPr>
    <w:rPr>
      <w:rFonts w:ascii="楷体_GB2312" w:hAnsi="楷体_GB2312" w:eastAsia="楷体_GB2312"/>
      <w:b/>
      <w:szCs w:val="32"/>
    </w:rPr>
  </w:style>
  <w:style w:type="character" w:customStyle="1" w:styleId="23">
    <w:name w:val="【正文】 Char"/>
    <w:link w:val="20"/>
    <w:qFormat/>
    <w:uiPriority w:val="0"/>
    <w:rPr>
      <w:rFonts w:ascii="仿宋_GB2312" w:hAnsi="仿宋_GB2312" w:eastAsia="仿宋_GB2312"/>
      <w:kern w:val="2"/>
      <w:sz w:val="32"/>
    </w:rPr>
  </w:style>
  <w:style w:type="character" w:customStyle="1" w:styleId="24">
    <w:name w:val="二级标题 Char"/>
    <w:link w:val="22"/>
    <w:qFormat/>
    <w:uiPriority w:val="0"/>
    <w:rPr>
      <w:rFonts w:ascii="楷体_GB2312" w:hAnsi="楷体_GB2312" w:eastAsia="楷体_GB2312"/>
      <w:b/>
      <w:kern w:val="2"/>
      <w:sz w:val="32"/>
      <w:szCs w:val="32"/>
    </w:rPr>
  </w:style>
  <w:style w:type="character" w:customStyle="1" w:styleId="25">
    <w:name w:val="批注文字 字符"/>
    <w:basedOn w:val="10"/>
    <w:link w:val="3"/>
    <w:qFormat/>
    <w:uiPriority w:val="99"/>
    <w:rPr>
      <w:rFonts w:ascii="Times New Roman" w:hAnsi="Times New Roman" w:eastAsia="仿宋_GB2312"/>
      <w:kern w:val="2"/>
      <w:sz w:val="32"/>
    </w:rPr>
  </w:style>
  <w:style w:type="character" w:customStyle="1" w:styleId="26">
    <w:name w:val="批注主题 字符"/>
    <w:basedOn w:val="25"/>
    <w:link w:val="8"/>
    <w:semiHidden/>
    <w:qFormat/>
    <w:uiPriority w:val="99"/>
    <w:rPr>
      <w:rFonts w:ascii="Times New Roman" w:hAnsi="Times New Roman" w:eastAsia="仿宋_GB2312"/>
      <w:b/>
      <w:bCs/>
      <w:kern w:val="2"/>
      <w:sz w:val="32"/>
    </w:rPr>
  </w:style>
  <w:style w:type="character" w:customStyle="1" w:styleId="27">
    <w:name w:val="NormalCharacter"/>
    <w:qFormat/>
    <w:uiPriority w:val="0"/>
  </w:style>
  <w:style w:type="paragraph" w:customStyle="1" w:styleId="28">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4554</Words>
  <Characters>4677</Characters>
  <Lines>33</Lines>
  <Paragraphs>9</Paragraphs>
  <TotalTime>8</TotalTime>
  <ScaleCrop>false</ScaleCrop>
  <LinksUpToDate>false</LinksUpToDate>
  <CharactersWithSpaces>4692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2023-01-14T20:14:00Z</dcterms:created>
  <dc:creator>yangf</dc:creator>
  <cp:lastModifiedBy>小陈</cp:lastModifiedBy>
  <cp:lastPrinted>2019-01-04T17:23:00Z</cp:lastPrinted>
  <dcterms:modified xsi:type="dcterms:W3CDTF">2023-01-19T05:01:40Z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FC926C5CEBC64645B7D8BFF7928C8780</vt:lpwstr>
  </property>
</Properties>
</file>